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520AB3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F51622" w:rsidRPr="00E91D54">
              <w:rPr>
                <w:b/>
                <w:bCs/>
              </w:rPr>
              <w:t xml:space="preserve">лекс  </w:t>
            </w:r>
          </w:p>
          <w:p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ДИК </w:t>
            </w:r>
            <w:r w:rsidR="00127D40">
              <w:rPr>
                <w:b/>
                <w:bCs/>
              </w:rPr>
              <w:t>1.38</w:t>
            </w:r>
          </w:p>
          <w:p w:rsidR="00520AB3" w:rsidRPr="00E91D54" w:rsidRDefault="004D426A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6F99E053" wp14:editId="7D3FB72D">
                  <wp:extent cx="1514309" cy="113573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4.171\Дизайнерам\ДИК 4.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309" cy="11357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520AB3" w:rsidRPr="00E91D54" w:rsidRDefault="00591439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127D40" w:rsidP="00F02DF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3950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664E88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520AB3" w:rsidRPr="00E91D54" w:rsidRDefault="00591439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591439" w:rsidP="009564C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62</w:t>
            </w:r>
            <w:r w:rsidR="009564CB">
              <w:rPr>
                <w:bCs/>
              </w:rPr>
              <w:t>8</w:t>
            </w:r>
            <w:r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520AB3" w:rsidRPr="00E91D54" w:rsidRDefault="00591439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9564CB" w:rsidP="009564C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255</w:t>
            </w:r>
            <w:r w:rsidR="0056221E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6806C4" w:rsidRPr="00E51C3A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:rsidR="009057B7" w:rsidRPr="0009258C" w:rsidRDefault="00127D40" w:rsidP="0059143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12</w:t>
            </w:r>
            <w:r w:rsidR="00591439">
              <w:rPr>
                <w:bCs/>
              </w:rPr>
              <w:t>00</w:t>
            </w:r>
          </w:p>
        </w:tc>
      </w:tr>
      <w:tr w:rsidR="006806C4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2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4B1849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  <w:bookmarkStart w:id="4" w:name="_GoBack"/>
            <w:bookmarkEnd w:id="4"/>
          </w:p>
        </w:tc>
        <w:tc>
          <w:tcPr>
            <w:tcW w:w="5530" w:type="dxa"/>
          </w:tcPr>
          <w:p w:rsidR="009564CB" w:rsidRPr="00D53477" w:rsidRDefault="009564CB" w:rsidP="009564C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bookmarkStart w:id="5" w:name="OLE_LINK36"/>
            <w:r w:rsidRPr="009564CB">
              <w:rPr>
                <w:color w:val="000000"/>
              </w:rPr>
              <w:t>Столб 100х100х2500. 12.12.00.00</w:t>
            </w:r>
            <w:r>
              <w:rPr>
                <w:color w:val="000000"/>
              </w:rPr>
              <w:t xml:space="preserve"> – 2 </w:t>
            </w:r>
            <w:r w:rsidRPr="00D53477">
              <w:rPr>
                <w:color w:val="000000"/>
              </w:rPr>
              <w:t>шт</w:t>
            </w:r>
            <w:r>
              <w:rPr>
                <w:color w:val="000000"/>
              </w:rPr>
              <w:t>.</w:t>
            </w:r>
          </w:p>
          <w:p w:rsidR="009564CB" w:rsidRDefault="009564CB" w:rsidP="0095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564CB">
              <w:rPr>
                <w:color w:val="000000"/>
              </w:rPr>
              <w:t>Столб 100х100х3500. 12.12.12.00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шт.</w:t>
            </w:r>
          </w:p>
          <w:p w:rsidR="009564CB" w:rsidRDefault="009564CB" w:rsidP="0095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564CB">
              <w:rPr>
                <w:color w:val="000000"/>
              </w:rPr>
              <w:t>Столб 100х100х3100. 12.12.12.00</w:t>
            </w:r>
            <w:r>
              <w:rPr>
                <w:color w:val="000000"/>
              </w:rPr>
              <w:t xml:space="preserve"> – 2 шт.</w:t>
            </w:r>
          </w:p>
          <w:p w:rsidR="009564CB" w:rsidRDefault="009564CB" w:rsidP="0095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564CB">
              <w:rPr>
                <w:color w:val="000000"/>
              </w:rPr>
              <w:t>Столб 100х100х2300. 12.12.00.00</w:t>
            </w:r>
            <w:r>
              <w:rPr>
                <w:color w:val="000000"/>
              </w:rPr>
              <w:t xml:space="preserve"> – 2 шт.</w:t>
            </w:r>
          </w:p>
          <w:p w:rsidR="009564CB" w:rsidRDefault="009564CB" w:rsidP="0095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Должны быть выполнены из </w:t>
            </w:r>
            <w:r w:rsidRPr="00754ED9">
              <w:rPr>
                <w:color w:val="000000"/>
              </w:rPr>
              <w:t>клееного</w:t>
            </w:r>
            <w:r>
              <w:rPr>
                <w:color w:val="000000"/>
              </w:rPr>
              <w:t xml:space="preserve"> деревянного </w:t>
            </w:r>
            <w:r w:rsidRPr="00754ED9">
              <w:rPr>
                <w:color w:val="000000"/>
              </w:rPr>
              <w:t>бруса, сечением не менее 100х100 мм</w:t>
            </w:r>
            <w:r>
              <w:rPr>
                <w:color w:val="000000"/>
              </w:rPr>
              <w:t xml:space="preserve">, </w:t>
            </w:r>
            <w:r w:rsidRPr="00754ED9">
              <w:rPr>
                <w:color w:val="000000"/>
              </w:rPr>
              <w:t>име</w:t>
            </w:r>
            <w:r>
              <w:rPr>
                <w:color w:val="000000"/>
              </w:rPr>
              <w:t xml:space="preserve">ть </w:t>
            </w:r>
            <w:r w:rsidRPr="00754ED9">
              <w:rPr>
                <w:color w:val="000000"/>
              </w:rPr>
              <w:t>скругленный профиль с канавкой посере</w:t>
            </w:r>
            <w:r>
              <w:rPr>
                <w:color w:val="000000"/>
              </w:rPr>
              <w:t>дине. Сверху столбы должны заканчиваться пластиковой заглушкой</w:t>
            </w:r>
            <w:r w:rsidRPr="00D53477">
              <w:rPr>
                <w:color w:val="000000"/>
              </w:rPr>
              <w:t xml:space="preserve"> </w:t>
            </w:r>
            <w:r w:rsidRPr="00197BE1">
              <w:rPr>
                <w:color w:val="000000"/>
              </w:rPr>
              <w:t>в форме четырехгранной усеченной пирамиды.</w:t>
            </w:r>
          </w:p>
          <w:p w:rsidR="00B801C4" w:rsidRPr="00E91D54" w:rsidRDefault="009564CB" w:rsidP="0095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</w:t>
            </w:r>
            <w:r>
              <w:rPr>
                <w:color w:val="000000"/>
              </w:rPr>
              <w:t xml:space="preserve"> опорные</w:t>
            </w:r>
            <w:r w:rsidRPr="00754ED9">
              <w:rPr>
                <w:color w:val="000000"/>
              </w:rPr>
              <w:t xml:space="preserve"> столбы должны оканчиваться металлическими</w:t>
            </w:r>
            <w:r>
              <w:rPr>
                <w:color w:val="000000"/>
              </w:rPr>
              <w:t xml:space="preserve"> оцинкованными подпятниками, выполненными из листовой стали толщиной не менее 4 мм и из трубы диаметром не менее 42 мм с толщиной стенки не менее 3,2 мм. Подпятник должен заканчиваться монтажным круглым фланцем, выполненным из листовой стали толщиной не менее 3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  <w:bookmarkEnd w:id="5"/>
          </w:p>
        </w:tc>
      </w:tr>
      <w:tr w:rsidR="0028583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285837" w:rsidRPr="00E91D54" w:rsidRDefault="00285837" w:rsidP="0028583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85837" w:rsidRPr="00E91D54" w:rsidRDefault="00285837" w:rsidP="0028583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85837" w:rsidRPr="00E91D54" w:rsidRDefault="00285837" w:rsidP="0028583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85837" w:rsidRPr="00E91D54" w:rsidRDefault="00285837" w:rsidP="0028583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285837" w:rsidRPr="00E94816" w:rsidRDefault="00285837" w:rsidP="0028583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Площадка башни</w:t>
            </w:r>
          </w:p>
        </w:tc>
        <w:tc>
          <w:tcPr>
            <w:tcW w:w="5530" w:type="dxa"/>
          </w:tcPr>
          <w:p w:rsidR="00285837" w:rsidRPr="00E94816" w:rsidRDefault="00285837" w:rsidP="0028583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 шт. Долж</w:t>
            </w:r>
            <w:r w:rsidRPr="00E94816">
              <w:rPr>
                <w:color w:val="000000"/>
              </w:rPr>
              <w:t>н</w:t>
            </w:r>
            <w:r>
              <w:rPr>
                <w:color w:val="000000"/>
              </w:rPr>
              <w:t>ы</w:t>
            </w:r>
            <w:r w:rsidRPr="00E94816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ы</w:t>
            </w:r>
            <w:r w:rsidRPr="00E94816">
              <w:rPr>
                <w:color w:val="000000"/>
              </w:rPr>
              <w:t xml:space="preserve"> из ламинированной противоскользящей влагостойкой фанеры толщиной не </w:t>
            </w:r>
            <w:r>
              <w:rPr>
                <w:color w:val="000000"/>
              </w:rPr>
              <w:t xml:space="preserve">менее 18 мм, две площадки размером не менее 1020х1040 мм площадью не менее 1 м² и одна размером не менее </w:t>
            </w:r>
            <w:r w:rsidRPr="00611C86">
              <w:rPr>
                <w:color w:val="000000"/>
              </w:rPr>
              <w:t>1040х20</w:t>
            </w:r>
            <w:r>
              <w:rPr>
                <w:color w:val="000000"/>
              </w:rPr>
              <w:t>2</w:t>
            </w:r>
            <w:r w:rsidRPr="00611C86">
              <w:rPr>
                <w:color w:val="000000"/>
              </w:rPr>
              <w:t>0 мм</w:t>
            </w:r>
            <w:r>
              <w:rPr>
                <w:color w:val="000000"/>
              </w:rPr>
              <w:t xml:space="preserve"> площадью не менее 2 м².</w:t>
            </w:r>
            <w:r w:rsidRPr="00E948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Площадка должна опираться на опорный брус сечением не менее 40х90 мм. Вязка опорного бруса </w:t>
            </w:r>
            <w:r w:rsidRPr="00E94816">
              <w:rPr>
                <w:color w:val="000000"/>
              </w:rPr>
              <w:t>со столба</w:t>
            </w:r>
            <w:r>
              <w:rPr>
                <w:color w:val="000000"/>
              </w:rPr>
              <w:t>ми должна осуществляться методом прямого одинарного глухого шипа, крепление нагелем.</w:t>
            </w:r>
          </w:p>
        </w:tc>
      </w:tr>
      <w:tr w:rsidR="0028583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285837" w:rsidRPr="00E91D54" w:rsidRDefault="00285837" w:rsidP="0028583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85837" w:rsidRPr="00E91D54" w:rsidRDefault="00285837" w:rsidP="0028583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85837" w:rsidRPr="00E91D54" w:rsidRDefault="00285837" w:rsidP="0028583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85837" w:rsidRPr="00E91D54" w:rsidRDefault="00285837" w:rsidP="0028583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285837" w:rsidRPr="00E91D54" w:rsidRDefault="00285837" w:rsidP="00285837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Скат горки, высота </w:t>
            </w:r>
            <w:r w:rsidRPr="00285837">
              <w:rPr>
                <w:bCs/>
              </w:rPr>
              <w:t>1200</w:t>
            </w:r>
            <w:r>
              <w:rPr>
                <w:bCs/>
              </w:rPr>
              <w:t xml:space="preserve"> мм</w:t>
            </w:r>
          </w:p>
        </w:tc>
        <w:tc>
          <w:tcPr>
            <w:tcW w:w="5530" w:type="dxa"/>
          </w:tcPr>
          <w:p w:rsidR="00285837" w:rsidRPr="000F3461" w:rsidRDefault="00285837" w:rsidP="0028583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>1</w:t>
            </w:r>
            <w:r w:rsidRPr="000F3461">
              <w:rPr>
                <w:color w:val="000000"/>
              </w:rPr>
              <w:t xml:space="preserve"> шт. </w:t>
            </w:r>
            <w:bookmarkStart w:id="6" w:name="OLE_LINK61"/>
            <w:bookmarkStart w:id="7" w:name="OLE_LINK62"/>
            <w:bookmarkStart w:id="8" w:name="OLE_LINK63"/>
            <w:bookmarkStart w:id="9" w:name="OLE_LINK65"/>
            <w:bookmarkStart w:id="10" w:name="OLE_LINK75"/>
            <w:bookmarkStart w:id="11" w:name="OLE_LINK76"/>
            <w:bookmarkStart w:id="12" w:name="OLE_LINK77"/>
            <w:bookmarkStart w:id="13" w:name="OLE_LINK78"/>
            <w:bookmarkStart w:id="14" w:name="OLE_LINK79"/>
            <w:bookmarkStart w:id="15" w:name="OLE_LINK80"/>
            <w:bookmarkStart w:id="16" w:name="OLE_LINK83"/>
            <w:bookmarkStart w:id="17" w:name="OLE_LINK84"/>
            <w:bookmarkStart w:id="18" w:name="OLE_LINK85"/>
            <w:r w:rsidRPr="000F3461">
              <w:rPr>
                <w:color w:val="000000"/>
              </w:rPr>
              <w:t xml:space="preserve">Верхний каркас ската должен быть выполнен из перемычек и </w:t>
            </w:r>
            <w:r w:rsidRPr="000F3461">
              <w:t xml:space="preserve">продольных направляющих, изготовленных из профильной трубы сечением не менее 50х25 </w:t>
            </w:r>
            <w:r w:rsidRPr="000F3461">
              <w:rPr>
                <w:color w:val="000000"/>
              </w:rPr>
              <w:t>с толщиной стенки не менее 2,5 мм. Каркас должен быть утоплен в отфрезерованный паз фанерного борта.</w:t>
            </w:r>
          </w:p>
          <w:p w:rsidR="00285837" w:rsidRPr="000F3461" w:rsidRDefault="00285837" w:rsidP="0028583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Желоб ската должен быть изготовлен из единого листа нержавеющей стали, толщиной не менее 1,5 мм. Дополнительная опора желоба должна обеспечиваться деревянными брусьями, сечением не менее 40х90 мм. Брусья и желоб должны вставляться в отфрезерованные пазы </w:t>
            </w:r>
            <w:r>
              <w:rPr>
                <w:color w:val="000000"/>
              </w:rPr>
              <w:t>в бортах горки</w:t>
            </w:r>
            <w:r w:rsidRPr="000F3461">
              <w:rPr>
                <w:color w:val="000000"/>
              </w:rPr>
              <w:t>.</w:t>
            </w:r>
          </w:p>
          <w:p w:rsidR="00285837" w:rsidRPr="009A48FF" w:rsidRDefault="00285837" w:rsidP="0028583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>Борта горки должны быть высотой не менее 120 мм, выполнены из влагостойкой фанеры марки ФСФ, сорт не ниже 2/2, толщиной не менее 21 мм. Боковые ограждения ската горки должны быть высотой не менее 700 мм, выполнены из влагостойкой фанеры марки ФСФ, сорт не ниже 2/2, толщиной не менее 21 мм.  Боковые ограждения должны быть оборудованы поручнем-ограничителем на высоте не менее 600 мм. Поручень должен быть выполнен из металлической трубы диаметром не менее 32 мм с толщиной стенки не менее 2,35 мм и двух штампованных ушек из стали толщиной не менее 4 мм.</w:t>
            </w:r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</w:p>
        </w:tc>
      </w:tr>
      <w:tr w:rsidR="0028583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285837" w:rsidRPr="00E91D54" w:rsidRDefault="00285837" w:rsidP="0028583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85837" w:rsidRPr="00E91D54" w:rsidRDefault="00285837" w:rsidP="0028583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85837" w:rsidRPr="00E91D54" w:rsidRDefault="00285837" w:rsidP="0028583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85837" w:rsidRPr="00E91D54" w:rsidRDefault="00285837" w:rsidP="0028583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285837" w:rsidRDefault="00285837" w:rsidP="0028583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Кронштейн на боковые ограждения горки</w:t>
            </w:r>
          </w:p>
        </w:tc>
        <w:tc>
          <w:tcPr>
            <w:tcW w:w="5530" w:type="dxa"/>
          </w:tcPr>
          <w:p w:rsidR="00285837" w:rsidRDefault="00285837" w:rsidP="0028583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Кронштейн </w:t>
            </w:r>
            <w:r w:rsidRPr="00713472">
              <w:rPr>
                <w:color w:val="000000"/>
              </w:rPr>
              <w:t>долж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 xml:space="preserve">н быть выполнен из металлической трубы диметром не менее </w:t>
            </w:r>
            <w:r>
              <w:rPr>
                <w:color w:val="000000"/>
              </w:rPr>
              <w:t xml:space="preserve">26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К кронштейну должны быть приварены штампованные ушки, в количестве трёх штук,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9D2278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9D2278" w:rsidRPr="00E91D54" w:rsidRDefault="009D227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D2278" w:rsidRPr="00E91D54" w:rsidRDefault="009D227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D2278" w:rsidRPr="00E91D54" w:rsidRDefault="009D227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D2278" w:rsidRPr="00E91D54" w:rsidRDefault="009D227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9D2278" w:rsidRPr="00E91D54" w:rsidRDefault="009D2278" w:rsidP="004E07FB">
            <w:pPr>
              <w:snapToGrid w:val="0"/>
              <w:rPr>
                <w:bCs/>
              </w:rPr>
            </w:pPr>
            <w:r>
              <w:rPr>
                <w:bCs/>
              </w:rPr>
              <w:t>Крыша</w:t>
            </w:r>
          </w:p>
        </w:tc>
        <w:tc>
          <w:tcPr>
            <w:tcW w:w="5530" w:type="dxa"/>
          </w:tcPr>
          <w:p w:rsidR="00005BDB" w:rsidRDefault="00005BDB" w:rsidP="00005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 Скаты крыши должны быть выполнены из трех фанерных листов толщиной не менее 2</w:t>
            </w:r>
            <w:r w:rsidR="00285837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мм. Фасады, они же стенки башни, должны быть выполнены из трех фане</w:t>
            </w:r>
            <w:r w:rsidR="00285837">
              <w:rPr>
                <w:color w:val="000000"/>
              </w:rPr>
              <w:t>рных листов толщиной не менее 21</w:t>
            </w:r>
            <w:r>
              <w:rPr>
                <w:color w:val="000000"/>
              </w:rPr>
              <w:t xml:space="preserve"> мм.</w:t>
            </w:r>
          </w:p>
          <w:p w:rsidR="009D2278" w:rsidRPr="00E91D54" w:rsidRDefault="00005BDB" w:rsidP="00285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 xml:space="preserve">На </w:t>
            </w:r>
            <w:r w:rsidR="00D509EF">
              <w:rPr>
                <w:color w:val="000000"/>
              </w:rPr>
              <w:t>наклонном скате</w:t>
            </w:r>
            <w:r>
              <w:rPr>
                <w:color w:val="000000"/>
              </w:rPr>
              <w:t xml:space="preserve"> </w:t>
            </w:r>
            <w:r w:rsidR="00D509EF">
              <w:rPr>
                <w:color w:val="000000"/>
              </w:rPr>
              <w:t xml:space="preserve">крыши </w:t>
            </w:r>
            <w:r w:rsidR="00285837">
              <w:rPr>
                <w:color w:val="000000"/>
              </w:rPr>
              <w:t>должен быть</w:t>
            </w:r>
            <w:r>
              <w:rPr>
                <w:color w:val="000000"/>
              </w:rPr>
              <w:t xml:space="preserve"> круглый вырез ди</w:t>
            </w:r>
            <w:r w:rsidR="00DA6397">
              <w:rPr>
                <w:color w:val="000000"/>
              </w:rPr>
              <w:t>аметром не менее 4</w:t>
            </w:r>
            <w:r>
              <w:rPr>
                <w:color w:val="000000"/>
              </w:rPr>
              <w:t xml:space="preserve">00 мм с крепящимся к нему пластиковым иллюминатором, на вертикальном скате </w:t>
            </w:r>
            <w:r w:rsidR="00D509EF">
              <w:rPr>
                <w:color w:val="000000"/>
              </w:rPr>
              <w:t xml:space="preserve">доллжна быть </w:t>
            </w:r>
            <w:r w:rsidR="00497363">
              <w:rPr>
                <w:color w:val="000000"/>
              </w:rPr>
              <w:t>художественно оформленная</w:t>
            </w:r>
            <w:r w:rsidR="00497363" w:rsidRPr="00E615CE">
              <w:rPr>
                <w:color w:val="000000"/>
              </w:rPr>
              <w:t xml:space="preserve"> поверхность в виде </w:t>
            </w:r>
            <w:r w:rsidR="00497363">
              <w:rPr>
                <w:color w:val="000000"/>
              </w:rPr>
              <w:t>летающей тарелки</w:t>
            </w:r>
            <w:r w:rsidR="00497363" w:rsidRPr="00E615CE">
              <w:rPr>
                <w:color w:val="000000"/>
              </w:rPr>
              <w:t>. Изображение должно быть нанесено при помощи полно</w:t>
            </w:r>
            <w:r w:rsidR="00497363">
              <w:rPr>
                <w:color w:val="000000"/>
              </w:rPr>
              <w:t>цветной ультрафиолетовой печати</w:t>
            </w:r>
            <w:r>
              <w:rPr>
                <w:color w:val="000000"/>
              </w:rPr>
              <w:t>. На верхнем скате</w:t>
            </w:r>
            <w:r w:rsidR="00D509EF">
              <w:rPr>
                <w:color w:val="000000"/>
              </w:rPr>
              <w:t xml:space="preserve"> должны быть</w:t>
            </w:r>
            <w:r>
              <w:rPr>
                <w:color w:val="000000"/>
              </w:rPr>
              <w:t xml:space="preserve"> установлены фанерные декоративные элементы в виде антенны и радара.</w:t>
            </w:r>
          </w:p>
        </w:tc>
      </w:tr>
      <w:tr w:rsidR="0028583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285837" w:rsidRPr="00E91D54" w:rsidRDefault="00285837" w:rsidP="0028583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85837" w:rsidRPr="00E91D54" w:rsidRDefault="00285837" w:rsidP="0028583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85837" w:rsidRPr="00E91D54" w:rsidRDefault="00285837" w:rsidP="0028583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85837" w:rsidRPr="00E91D54" w:rsidRDefault="00285837" w:rsidP="0028583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285837" w:rsidRPr="00E94816" w:rsidRDefault="00285837" w:rsidP="0028583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Лестница, высота 1200 мм</w:t>
            </w:r>
          </w:p>
        </w:tc>
        <w:tc>
          <w:tcPr>
            <w:tcW w:w="5530" w:type="dxa"/>
          </w:tcPr>
          <w:p w:rsidR="00285837" w:rsidRPr="00E94816" w:rsidRDefault="00285837" w:rsidP="0028583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1 </w:t>
            </w:r>
            <w:r w:rsidRPr="009814FA">
              <w:rPr>
                <w:color w:val="000000"/>
              </w:rPr>
              <w:t xml:space="preserve">шт. </w:t>
            </w:r>
            <w:r w:rsidRPr="00E547D3">
              <w:rPr>
                <w:color w:val="000000"/>
              </w:rPr>
              <w:t>Ступеньки</w:t>
            </w:r>
            <w:r>
              <w:rPr>
                <w:color w:val="000000"/>
              </w:rPr>
              <w:t xml:space="preserve"> лестницы,</w:t>
            </w:r>
            <w:r w:rsidRPr="00E547D3">
              <w:rPr>
                <w:color w:val="000000"/>
              </w:rPr>
              <w:t xml:space="preserve"> в количестве </w:t>
            </w:r>
            <w:r>
              <w:rPr>
                <w:color w:val="000000"/>
              </w:rPr>
              <w:t xml:space="preserve">6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 xml:space="preserve">ук, </w:t>
            </w:r>
            <w:r w:rsidRPr="00E547D3">
              <w:rPr>
                <w:color w:val="000000"/>
              </w:rPr>
              <w:t>должны быть выполнены из л</w:t>
            </w:r>
            <w:r>
              <w:rPr>
                <w:color w:val="000000"/>
              </w:rPr>
              <w:t>аминированной противоскользящей</w:t>
            </w:r>
            <w:r w:rsidRPr="00E547D3">
              <w:rPr>
                <w:color w:val="000000"/>
              </w:rPr>
              <w:t xml:space="preserve"> фанеры толщиной не менее 18 мм и </w:t>
            </w:r>
            <w:r>
              <w:rPr>
                <w:color w:val="000000"/>
              </w:rPr>
              <w:t xml:space="preserve">из </w:t>
            </w:r>
            <w:r w:rsidRPr="00E547D3">
              <w:rPr>
                <w:color w:val="000000"/>
              </w:rPr>
              <w:t xml:space="preserve">деревянного бруса сечением не менее 40х90 мм. </w:t>
            </w:r>
            <w:r>
              <w:rPr>
                <w:color w:val="000000"/>
              </w:rPr>
              <w:t>Ступени должны у</w:t>
            </w:r>
            <w:r w:rsidRPr="00E547D3">
              <w:rPr>
                <w:color w:val="000000"/>
              </w:rPr>
              <w:t>станавливаться в отфрезерованны</w:t>
            </w:r>
            <w:r>
              <w:rPr>
                <w:color w:val="000000"/>
              </w:rPr>
              <w:t>е</w:t>
            </w:r>
            <w:r w:rsidRPr="00E547D3">
              <w:rPr>
                <w:color w:val="000000"/>
              </w:rPr>
              <w:t xml:space="preserve"> паз</w:t>
            </w:r>
            <w:r>
              <w:rPr>
                <w:color w:val="000000"/>
              </w:rPr>
              <w:t>ы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E547D3">
              <w:rPr>
                <w:color w:val="000000"/>
              </w:rPr>
              <w:t xml:space="preserve"> направляющих лестницы. Направляющие лестницы</w:t>
            </w:r>
            <w:r>
              <w:rPr>
                <w:color w:val="000000"/>
              </w:rPr>
              <w:t xml:space="preserve">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двух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 должны быть</w:t>
            </w:r>
            <w:r w:rsidRPr="00E547D3">
              <w:rPr>
                <w:color w:val="000000"/>
              </w:rPr>
              <w:t xml:space="preserve"> выполнены из деревянно</w:t>
            </w:r>
            <w:r>
              <w:rPr>
                <w:color w:val="000000"/>
              </w:rPr>
              <w:t>го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бруса</w:t>
            </w:r>
            <w:r w:rsidRPr="00E547D3">
              <w:rPr>
                <w:color w:val="000000"/>
              </w:rPr>
              <w:t xml:space="preserve"> сечением не менее 40х180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Перила </w:t>
            </w:r>
            <w:r>
              <w:rPr>
                <w:color w:val="000000"/>
              </w:rPr>
              <w:t xml:space="preserve">лестницы,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четырёх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должны быть </w:t>
            </w:r>
            <w:r w:rsidRPr="00E547D3">
              <w:rPr>
                <w:color w:val="000000"/>
              </w:rPr>
              <w:t>выполнены из деревянно</w:t>
            </w:r>
            <w:r>
              <w:rPr>
                <w:color w:val="000000"/>
              </w:rPr>
              <w:t xml:space="preserve">го бруса </w:t>
            </w:r>
            <w:r w:rsidRPr="00E547D3">
              <w:rPr>
                <w:color w:val="000000"/>
              </w:rPr>
              <w:t>сечением не менее 40х135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Оцинкованные закладные столбы лестницы, в количестве двух штук, должны быть изготовлены из профильной</w:t>
            </w:r>
            <w:r w:rsidRPr="00E547D3">
              <w:rPr>
                <w:color w:val="000000"/>
              </w:rPr>
              <w:t xml:space="preserve"> труб</w:t>
            </w:r>
            <w:r>
              <w:rPr>
                <w:color w:val="000000"/>
              </w:rPr>
              <w:t>ы сечением не менее</w:t>
            </w:r>
            <w:r w:rsidRPr="00E547D3">
              <w:rPr>
                <w:color w:val="000000"/>
              </w:rPr>
              <w:t xml:space="preserve"> 40х80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толщиной стенки не менее 2 мм.</w:t>
            </w:r>
          </w:p>
        </w:tc>
      </w:tr>
      <w:tr w:rsidR="003B74A7" w:rsidTr="009D2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B74A7" w:rsidRPr="00E91D54" w:rsidRDefault="003B74A7" w:rsidP="003B74A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B74A7" w:rsidRPr="00E91D54" w:rsidRDefault="003B74A7" w:rsidP="003B74A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B74A7" w:rsidRPr="00E91D54" w:rsidRDefault="003B74A7" w:rsidP="003B74A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B74A7" w:rsidRPr="00E91D54" w:rsidRDefault="003B74A7" w:rsidP="003B74A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3B74A7" w:rsidRDefault="003B74A7" w:rsidP="003B74A7">
            <w:pPr>
              <w:snapToGri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Ограждение 1100х1100 мм с вырезом 400 мм под иллюминатор в сборе</w:t>
            </w:r>
          </w:p>
        </w:tc>
        <w:tc>
          <w:tcPr>
            <w:tcW w:w="5530" w:type="dxa"/>
          </w:tcPr>
          <w:p w:rsidR="003B74A7" w:rsidRDefault="003B74A7" w:rsidP="003B7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кол-ве 4 шт. Ограждение должно быть выполнено из влагостойкой фанеры марки ФСФ, сорт не ниже 2/2, толщиной не менее 18 мм с круглыми вырезами диаметром не менее 400 мм. К ограждениям должны крепиться пластиковые иллюминаторы.</w:t>
            </w:r>
          </w:p>
        </w:tc>
      </w:tr>
      <w:tr w:rsidR="009D2278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9D2278" w:rsidRPr="00E91D54" w:rsidRDefault="009D227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D2278" w:rsidRPr="00E91D54" w:rsidRDefault="009D227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D2278" w:rsidRPr="00E91D54" w:rsidRDefault="009D227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D2278" w:rsidRPr="00E91D54" w:rsidRDefault="009D227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9D2278" w:rsidRPr="00754ED9" w:rsidRDefault="009D2278" w:rsidP="00B801C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 с лазом</w:t>
            </w:r>
          </w:p>
        </w:tc>
        <w:tc>
          <w:tcPr>
            <w:tcW w:w="5530" w:type="dxa"/>
          </w:tcPr>
          <w:p w:rsidR="009D2278" w:rsidRPr="009814FA" w:rsidRDefault="009D2278" w:rsidP="003B7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4 шт. </w:t>
            </w:r>
            <w:r w:rsidR="003B74A7">
              <w:rPr>
                <w:color w:val="000000"/>
              </w:rPr>
              <w:t xml:space="preserve">Ограждение </w:t>
            </w:r>
            <w:r w:rsidR="00D509EF">
              <w:rPr>
                <w:color w:val="000000"/>
              </w:rPr>
              <w:t>должн</w:t>
            </w:r>
            <w:r w:rsidR="003B74A7">
              <w:rPr>
                <w:color w:val="000000"/>
              </w:rPr>
              <w:t>о</w:t>
            </w:r>
            <w:r w:rsidR="00D509EF">
              <w:rPr>
                <w:color w:val="000000"/>
              </w:rPr>
              <w:t xml:space="preserve"> быть </w:t>
            </w:r>
            <w:r>
              <w:rPr>
                <w:color w:val="000000"/>
              </w:rPr>
              <w:t>выполнен</w:t>
            </w:r>
            <w:r w:rsidR="003B74A7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 w:rsidRPr="00A86472">
              <w:rPr>
                <w:color w:val="000000"/>
              </w:rPr>
              <w:t>из влагостойкой фанеры марки ФСФ</w:t>
            </w:r>
            <w:r w:rsidR="003B74A7"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сорт не ниже 2/2</w:t>
            </w:r>
            <w:r w:rsidR="003B74A7"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толщиной не менее 2</w:t>
            </w:r>
            <w:r w:rsidR="003B74A7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A86472">
              <w:rPr>
                <w:color w:val="000000"/>
              </w:rPr>
              <w:t>мм</w:t>
            </w:r>
            <w:r w:rsidR="003B74A7">
              <w:rPr>
                <w:color w:val="000000"/>
              </w:rPr>
              <w:t xml:space="preserve"> с круглыми вырезом</w:t>
            </w:r>
            <w:r>
              <w:rPr>
                <w:color w:val="000000"/>
              </w:rPr>
              <w:t xml:space="preserve"> диаметром не менее 700 мм</w:t>
            </w:r>
            <w:r w:rsidR="00D509EF">
              <w:rPr>
                <w:color w:val="000000"/>
              </w:rPr>
              <w:t>.</w:t>
            </w:r>
          </w:p>
        </w:tc>
      </w:tr>
      <w:tr w:rsidR="003B74A7" w:rsidTr="00D50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B74A7" w:rsidRPr="00E91D54" w:rsidRDefault="003B74A7" w:rsidP="003B74A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B74A7" w:rsidRPr="00E91D54" w:rsidRDefault="003B74A7" w:rsidP="003B74A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B74A7" w:rsidRPr="00E91D54" w:rsidRDefault="003B74A7" w:rsidP="003B74A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B74A7" w:rsidRPr="00E91D54" w:rsidRDefault="003B74A7" w:rsidP="003B74A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3B74A7" w:rsidRPr="00E91D54" w:rsidRDefault="003B74A7" w:rsidP="003B74A7">
            <w:pPr>
              <w:snapToGrid w:val="0"/>
              <w:rPr>
                <w:bCs/>
              </w:rPr>
            </w:pPr>
            <w:r>
              <w:rPr>
                <w:bCs/>
              </w:rPr>
              <w:t>Счеты (комплект)</w:t>
            </w:r>
          </w:p>
        </w:tc>
        <w:tc>
          <w:tcPr>
            <w:tcW w:w="5530" w:type="dxa"/>
          </w:tcPr>
          <w:p w:rsidR="003B74A7" w:rsidRPr="00E91D54" w:rsidRDefault="003B74A7" w:rsidP="003B74A7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1 шт. Счеты</w:t>
            </w:r>
            <w:r w:rsidRPr="0032082A">
              <w:t xml:space="preserve"> должны состоять из двух </w:t>
            </w:r>
            <w:r>
              <w:t xml:space="preserve">металлических оцинкованных </w:t>
            </w:r>
            <w:r w:rsidRPr="0032082A">
              <w:t>перекладин</w:t>
            </w:r>
            <w:r>
              <w:t xml:space="preserve"> из трубы диаметром не менее 32 мм с толщиной стенки не менее 2,35 мм,</w:t>
            </w:r>
            <w:r w:rsidRPr="0032082A">
              <w:t xml:space="preserve"> двух крепежных накладок </w:t>
            </w:r>
            <w:r w:rsidRPr="00E94816">
              <w:rPr>
                <w:color w:val="000000"/>
              </w:rPr>
              <w:t>из ламинированной, противоскользящей</w:t>
            </w:r>
            <w:r>
              <w:rPr>
                <w:color w:val="000000"/>
              </w:rPr>
              <w:t>,</w:t>
            </w:r>
            <w:r w:rsidRPr="00E94816">
              <w:rPr>
                <w:color w:val="000000"/>
              </w:rPr>
              <w:t xml:space="preserve"> влагостойкой фанеры толщиной не </w:t>
            </w:r>
            <w:r>
              <w:rPr>
                <w:color w:val="000000"/>
              </w:rPr>
              <w:t xml:space="preserve">менее 18 мм </w:t>
            </w:r>
            <w:r w:rsidRPr="0032082A">
              <w:t xml:space="preserve">и </w:t>
            </w:r>
            <w:r>
              <w:t>десяти</w:t>
            </w:r>
            <w:r w:rsidRPr="0032082A">
              <w:t xml:space="preserve"> цветных бубликов из полиамида</w:t>
            </w:r>
            <w:r>
              <w:t>,</w:t>
            </w:r>
            <w:r w:rsidRPr="0032082A">
              <w:t xml:space="preserve"> изготовленных методом литья под давлением. Размер бублико</w:t>
            </w:r>
            <w:r>
              <w:t>в должен быть не менее 130х38мм,</w:t>
            </w:r>
            <w:r w:rsidRPr="0032082A">
              <w:t xml:space="preserve"> внутреннее отверстие не менее 38</w:t>
            </w:r>
            <w:r>
              <w:t xml:space="preserve"> </w:t>
            </w:r>
            <w:r w:rsidRPr="0032082A">
              <w:t>мм</w:t>
            </w:r>
            <w:r>
              <w:t>.</w:t>
            </w:r>
          </w:p>
        </w:tc>
      </w:tr>
      <w:tr w:rsidR="003B74A7" w:rsidTr="00F02DFC">
        <w:trPr>
          <w:trHeight w:val="9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B74A7" w:rsidRPr="00E91D54" w:rsidRDefault="003B74A7" w:rsidP="003B74A7">
            <w:pPr>
              <w:snapToGrid w:val="0"/>
              <w:jc w:val="center"/>
              <w:rPr>
                <w:b/>
                <w:bCs/>
              </w:rPr>
            </w:pPr>
            <w:bookmarkStart w:id="19" w:name="OLE_LINK365"/>
            <w:bookmarkStart w:id="20" w:name="OLE_LINK366"/>
          </w:p>
        </w:tc>
        <w:tc>
          <w:tcPr>
            <w:tcW w:w="2410" w:type="dxa"/>
            <w:vMerge/>
          </w:tcPr>
          <w:p w:rsidR="003B74A7" w:rsidRPr="00E91D54" w:rsidRDefault="003B74A7" w:rsidP="003B74A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B74A7" w:rsidRPr="00E91D54" w:rsidRDefault="003B74A7" w:rsidP="003B74A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B74A7" w:rsidRPr="00E91D54" w:rsidRDefault="003B74A7" w:rsidP="003B74A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tcBorders>
              <w:bottom w:val="single" w:sz="4" w:space="0" w:color="auto"/>
              <w:right w:val="single" w:sz="4" w:space="0" w:color="auto"/>
            </w:tcBorders>
          </w:tcPr>
          <w:p w:rsidR="003B74A7" w:rsidRDefault="003B74A7" w:rsidP="003B74A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Шест-спираль</w:t>
            </w:r>
          </w:p>
        </w:tc>
        <w:tc>
          <w:tcPr>
            <w:tcW w:w="5530" w:type="dxa"/>
            <w:tcBorders>
              <w:left w:val="single" w:sz="4" w:space="0" w:color="auto"/>
              <w:bottom w:val="single" w:sz="4" w:space="0" w:color="auto"/>
            </w:tcBorders>
          </w:tcPr>
          <w:p w:rsidR="003B74A7" w:rsidRDefault="003B74A7" w:rsidP="003B74A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Шест должен быть выполнен из трубы диаметром не менее 42 мм с толщиной стенки не менее 2,35 мм. Шест </w:t>
            </w:r>
            <w:r w:rsidRPr="00D5420F">
              <w:rPr>
                <w:color w:val="000000"/>
              </w:rPr>
              <w:t>до</w:t>
            </w:r>
            <w:r>
              <w:rPr>
                <w:color w:val="000000"/>
              </w:rPr>
              <w:t>л</w:t>
            </w:r>
            <w:r w:rsidRPr="00D5420F">
              <w:rPr>
                <w:color w:val="000000"/>
              </w:rPr>
              <w:t>жен заканчиваться монтажным круглым фланцем</w:t>
            </w:r>
            <w:r>
              <w:rPr>
                <w:color w:val="000000"/>
              </w:rPr>
              <w:t>,</w:t>
            </w:r>
            <w:r w:rsidRPr="00D5420F">
              <w:rPr>
                <w:color w:val="000000"/>
              </w:rPr>
              <w:t xml:space="preserve"> выполненным из </w:t>
            </w:r>
            <w:r>
              <w:rPr>
                <w:color w:val="000000"/>
              </w:rPr>
              <w:t xml:space="preserve">листовой </w:t>
            </w:r>
            <w:r w:rsidRPr="00D5420F">
              <w:rPr>
                <w:color w:val="000000"/>
              </w:rPr>
              <w:t>стал</w:t>
            </w:r>
            <w:r>
              <w:rPr>
                <w:color w:val="000000"/>
              </w:rPr>
              <w:t>и толщиной не менее 3 мм, который</w:t>
            </w:r>
            <w:r w:rsidRPr="00D5420F">
              <w:rPr>
                <w:color w:val="000000"/>
              </w:rPr>
              <w:t xml:space="preserve"> бетонируются в землю.</w:t>
            </w:r>
            <w:r>
              <w:rPr>
                <w:color w:val="000000"/>
              </w:rPr>
              <w:t xml:space="preserve"> Спираль и дуга шеста должны быть выполнены из трубы диаметром не менее 40 мм с толщиной стенки не менее 2,5 мм. К дуге шеста должны быть приварены </w:t>
            </w:r>
            <w:r w:rsidRPr="002832D9">
              <w:rPr>
                <w:color w:val="000000"/>
              </w:rPr>
              <w:t>дв</w:t>
            </w:r>
            <w:r>
              <w:rPr>
                <w:color w:val="000000"/>
              </w:rPr>
              <w:t>а</w:t>
            </w:r>
            <w:r w:rsidRPr="002832D9">
              <w:rPr>
                <w:color w:val="000000"/>
              </w:rPr>
              <w:t xml:space="preserve"> шта</w:t>
            </w:r>
            <w:r>
              <w:rPr>
                <w:color w:val="000000"/>
              </w:rPr>
              <w:t>мпованных ушка, выполненные из листовой стали толщиной не менее 4 мм.</w:t>
            </w:r>
          </w:p>
        </w:tc>
      </w:tr>
      <w:bookmarkEnd w:id="19"/>
      <w:bookmarkEnd w:id="20"/>
      <w:tr w:rsidR="003B74A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B74A7" w:rsidRPr="00E91D54" w:rsidRDefault="003B74A7" w:rsidP="003B74A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B74A7" w:rsidRPr="00E91D54" w:rsidRDefault="003B74A7" w:rsidP="003B74A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B74A7" w:rsidRPr="00E91D54" w:rsidRDefault="003B74A7" w:rsidP="003B74A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B74A7" w:rsidRPr="00E91D54" w:rsidRDefault="003B74A7" w:rsidP="003B74A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tcBorders>
              <w:top w:val="single" w:sz="4" w:space="0" w:color="auto"/>
              <w:right w:val="single" w:sz="4" w:space="0" w:color="auto"/>
            </w:tcBorders>
          </w:tcPr>
          <w:p w:rsidR="003B74A7" w:rsidRDefault="003B74A7" w:rsidP="003B74A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 32х900 мм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</w:tcPr>
          <w:p w:rsidR="003B74A7" w:rsidRDefault="003B74A7" w:rsidP="003B74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Перекладина </w:t>
            </w:r>
            <w:r w:rsidRPr="00713472">
              <w:rPr>
                <w:color w:val="000000"/>
              </w:rPr>
              <w:t>должна быть выполнена из металлической трубы диметром не менее 32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С обеих сторон к трубе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3B74A7" w:rsidTr="004D426A">
        <w:trPr>
          <w:trHeight w:val="12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B74A7" w:rsidRPr="00E91D54" w:rsidRDefault="003B74A7" w:rsidP="003B74A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B74A7" w:rsidRPr="00E91D54" w:rsidRDefault="003B74A7" w:rsidP="003B74A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B74A7" w:rsidRPr="00E91D54" w:rsidRDefault="003B74A7" w:rsidP="003B74A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B74A7" w:rsidRPr="00E91D54" w:rsidRDefault="003B74A7" w:rsidP="003B74A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tcBorders>
              <w:top w:val="single" w:sz="4" w:space="0" w:color="auto"/>
              <w:right w:val="single" w:sz="4" w:space="0" w:color="auto"/>
            </w:tcBorders>
          </w:tcPr>
          <w:p w:rsidR="003B74A7" w:rsidRPr="00A20836" w:rsidRDefault="003B74A7" w:rsidP="003B74A7">
            <w:pPr>
              <w:snapToGrid w:val="0"/>
              <w:rPr>
                <w:color w:val="000000"/>
              </w:rPr>
            </w:pPr>
            <w:r w:rsidRPr="002C2DA8">
              <w:rPr>
                <w:color w:val="000000"/>
              </w:rPr>
              <w:t>Сидение 900х250 мм</w:t>
            </w:r>
            <w:r>
              <w:rPr>
                <w:color w:val="000000"/>
              </w:rPr>
              <w:t xml:space="preserve"> с ножками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</w:tcPr>
          <w:p w:rsidR="003B74A7" w:rsidRPr="00A20836" w:rsidRDefault="003B74A7" w:rsidP="003B74A7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20836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>4</w:t>
            </w:r>
            <w:r w:rsidRPr="00A20836">
              <w:rPr>
                <w:color w:val="000000"/>
              </w:rPr>
              <w:t xml:space="preserve"> шт. </w:t>
            </w:r>
            <w:r>
              <w:rPr>
                <w:color w:val="000000"/>
              </w:rPr>
              <w:t xml:space="preserve">Сидение </w:t>
            </w:r>
            <w:r w:rsidRPr="00A20836">
              <w:rPr>
                <w:color w:val="000000"/>
              </w:rPr>
              <w:t>должн</w:t>
            </w:r>
            <w:r>
              <w:rPr>
                <w:color w:val="000000"/>
              </w:rPr>
              <w:t>о быть изготовлено</w:t>
            </w:r>
            <w:r w:rsidRPr="00A20836">
              <w:rPr>
                <w:color w:val="000000"/>
              </w:rPr>
              <w:t xml:space="preserve"> из влагостойкой фанеры марки ФСФ</w:t>
            </w:r>
            <w:r>
              <w:rPr>
                <w:color w:val="000000"/>
              </w:rPr>
              <w:t>,</w:t>
            </w:r>
            <w:r w:rsidRPr="00A20836">
              <w:rPr>
                <w:color w:val="000000"/>
              </w:rPr>
              <w:t xml:space="preserve"> сорт не ниже 2/2</w:t>
            </w:r>
            <w:r>
              <w:rPr>
                <w:color w:val="000000"/>
              </w:rPr>
              <w:t>,</w:t>
            </w:r>
            <w:r w:rsidRPr="00A20836">
              <w:rPr>
                <w:color w:val="000000"/>
              </w:rPr>
              <w:t xml:space="preserve"> толщиной не менее 2</w:t>
            </w:r>
            <w:r>
              <w:rPr>
                <w:color w:val="000000"/>
              </w:rPr>
              <w:t>1</w:t>
            </w:r>
            <w:r w:rsidRPr="00A20836">
              <w:rPr>
                <w:color w:val="000000"/>
              </w:rPr>
              <w:t xml:space="preserve"> мм. </w:t>
            </w:r>
            <w:r>
              <w:rPr>
                <w:color w:val="000000"/>
              </w:rPr>
              <w:t xml:space="preserve">Сидение должно </w:t>
            </w:r>
            <w:r w:rsidRPr="00A20836">
              <w:rPr>
                <w:color w:val="000000"/>
              </w:rPr>
              <w:t xml:space="preserve">опираться на металлические </w:t>
            </w:r>
            <w:r>
              <w:rPr>
                <w:color w:val="000000"/>
              </w:rPr>
              <w:t>перекладины</w:t>
            </w:r>
            <w:r w:rsidRPr="00A20836">
              <w:rPr>
                <w:color w:val="000000"/>
              </w:rPr>
              <w:t xml:space="preserve"> изготовленных из трубы диаметром не менее 26 мм с толщиной стенки не менее 2,35 мм.</w:t>
            </w:r>
          </w:p>
        </w:tc>
      </w:tr>
      <w:tr w:rsidR="009D2278" w:rsidRPr="00950839" w:rsidTr="009D2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9D2278" w:rsidRPr="00E91D54" w:rsidRDefault="009D227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D2278" w:rsidRPr="00E91D54" w:rsidRDefault="009D227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D2278" w:rsidRPr="00E91D54" w:rsidRDefault="009D227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D2278" w:rsidRPr="00E91D54" w:rsidRDefault="009D227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tcBorders>
              <w:bottom w:val="nil"/>
              <w:right w:val="single" w:sz="4" w:space="0" w:color="auto"/>
            </w:tcBorders>
          </w:tcPr>
          <w:p w:rsidR="009D2278" w:rsidRPr="00E91D54" w:rsidRDefault="004E07FB" w:rsidP="004E07FB">
            <w:r>
              <w:t xml:space="preserve">Стенка наклонная со столиком </w:t>
            </w:r>
          </w:p>
        </w:tc>
        <w:tc>
          <w:tcPr>
            <w:tcW w:w="5530" w:type="dxa"/>
            <w:tcBorders>
              <w:left w:val="single" w:sz="4" w:space="0" w:color="auto"/>
              <w:bottom w:val="nil"/>
            </w:tcBorders>
          </w:tcPr>
          <w:p w:rsidR="00497363" w:rsidRPr="00497363" w:rsidRDefault="00005BDB" w:rsidP="003B7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 Должна состоять из наклонной стенки, двух боковых накладок и столика, выполненных из влагостойкой фанеры марки ФСФ сорт не ниже 2/2 толщиной не менее 2</w:t>
            </w:r>
            <w:r w:rsidR="003B74A7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мм. На стенк</w:t>
            </w:r>
            <w:r w:rsidR="00497363">
              <w:rPr>
                <w:color w:val="000000"/>
              </w:rPr>
              <w:t>е</w:t>
            </w:r>
            <w:r w:rsidR="00F63BA0">
              <w:rPr>
                <w:color w:val="000000"/>
              </w:rPr>
              <w:t xml:space="preserve"> </w:t>
            </w:r>
            <w:r w:rsidR="00497363">
              <w:rPr>
                <w:color w:val="000000"/>
              </w:rPr>
              <w:t>доллжна быть художественно оформленная</w:t>
            </w:r>
            <w:r w:rsidR="00497363" w:rsidRPr="00E615CE">
              <w:rPr>
                <w:color w:val="000000"/>
              </w:rPr>
              <w:t xml:space="preserve"> поверхность в виде </w:t>
            </w:r>
            <w:r w:rsidR="00497363">
              <w:rPr>
                <w:color w:val="000000"/>
              </w:rPr>
              <w:t>летающей тарелки</w:t>
            </w:r>
            <w:r w:rsidR="00497363" w:rsidRPr="00E615CE">
              <w:rPr>
                <w:color w:val="000000"/>
              </w:rPr>
              <w:t>. Изображение должно быть нанесено при помощи полно</w:t>
            </w:r>
            <w:r w:rsidR="00497363">
              <w:rPr>
                <w:color w:val="000000"/>
              </w:rPr>
              <w:t>цветной ультрафиолетовой печати.</w:t>
            </w:r>
          </w:p>
        </w:tc>
      </w:tr>
      <w:tr w:rsidR="009D2278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9D2278" w:rsidRPr="00E91D54" w:rsidRDefault="009D227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D2278" w:rsidRPr="00E91D54" w:rsidRDefault="009D227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D2278" w:rsidRPr="00E91D54" w:rsidRDefault="009D227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D2278" w:rsidRPr="00E91D54" w:rsidRDefault="009D227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9D2278" w:rsidRPr="00E91D54" w:rsidRDefault="009D2278" w:rsidP="002C4DCB">
            <w:r>
              <w:t>Материалы</w:t>
            </w:r>
          </w:p>
        </w:tc>
        <w:tc>
          <w:tcPr>
            <w:tcW w:w="5530" w:type="dxa"/>
          </w:tcPr>
          <w:p w:rsidR="00F63BA0" w:rsidRDefault="00F63BA0" w:rsidP="00F63BA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Клееный деревянный брус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со всех сторон и покрашены в заводских условиях профессиональными двух компонентными красками.</w:t>
            </w:r>
          </w:p>
          <w:p w:rsidR="00497363" w:rsidRDefault="00F63BA0" w:rsidP="00F63B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Влагостойкая фанера должна быть марки ФСФ сорт не ниже 2/2 и окрашена двухкомпонентной краской, специально предназначенной для применения на детских площадках, стойкой к сложным погодным условиям, </w:t>
            </w:r>
            <w:r>
              <w:rPr>
                <w:color w:val="000000"/>
                <w:lang w:eastAsia="en-US"/>
              </w:rPr>
              <w:lastRenderedPageBreak/>
              <w:t>истиранию, устойчивой к воздействию ультрафиолета и влаги.</w:t>
            </w:r>
          </w:p>
          <w:p w:rsidR="00497363" w:rsidRPr="00CD42CF" w:rsidRDefault="00497363" w:rsidP="0049736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 w:rsidRPr="00CD42CF">
              <w:rPr>
                <w:color w:val="000000"/>
                <w:lang w:eastAsia="en-US"/>
              </w:rPr>
              <w:t>Преимущества нанесения на фанеру изображений методом ультрафиолетовой печати:</w:t>
            </w:r>
          </w:p>
          <w:p w:rsidR="00497363" w:rsidRPr="00CD42CF" w:rsidRDefault="00497363" w:rsidP="0049736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42CF">
              <w:t>- абсолютная экологичность. Материал и краски, в которых нет испаряющегося растворителя, полностью безопасны;</w:t>
            </w:r>
          </w:p>
          <w:p w:rsidR="00497363" w:rsidRPr="00CD42CF" w:rsidRDefault="00497363" w:rsidP="00497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42CF">
              <w:t xml:space="preserve">- долговечность. Не выгорает, не отслаивается под воздействием жиров и влаги, механической деформации, перепадов температур; </w:t>
            </w:r>
          </w:p>
          <w:p w:rsidR="00497363" w:rsidRDefault="00497363" w:rsidP="0049736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 w:rsidRPr="00CD42CF">
              <w:rPr>
                <w:rFonts w:hAnsi="Symbol"/>
              </w:rPr>
              <w:t>-</w:t>
            </w:r>
            <w:r w:rsidRPr="00CD42CF">
              <w:t xml:space="preserve"> легкий уход. Поверхность с изображением легко очищается и моется с помощью обычных растворов.</w:t>
            </w:r>
          </w:p>
          <w:p w:rsidR="009D2278" w:rsidRPr="00E91D54" w:rsidRDefault="00F63BA0" w:rsidP="00F63B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lang w:eastAsia="en-US"/>
              </w:rPr>
              <w:t>Металл покрашен полимерной порошковой краской. Заглушки пластиковые, цветные. Все метизы оцинкованы.</w:t>
            </w:r>
          </w:p>
        </w:tc>
      </w:tr>
      <w:tr w:rsidR="009D2278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9D2278" w:rsidRPr="00E91D54" w:rsidRDefault="009D227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D2278" w:rsidRPr="00E91D54" w:rsidRDefault="009D227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D2278" w:rsidRPr="00E91D54" w:rsidRDefault="009D227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D2278" w:rsidRPr="00E91D54" w:rsidRDefault="009D227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9D2278" w:rsidRPr="00E91D54" w:rsidRDefault="009D2278" w:rsidP="008361D0">
            <w:r>
              <w:t>Описание</w:t>
            </w:r>
          </w:p>
        </w:tc>
        <w:tc>
          <w:tcPr>
            <w:tcW w:w="5530" w:type="dxa"/>
          </w:tcPr>
          <w:p w:rsidR="009D2278" w:rsidRDefault="009D2278" w:rsidP="00E43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Детск</w:t>
            </w:r>
            <w:r w:rsidR="00F63BA0">
              <w:t xml:space="preserve">ий игровой комплекс состоит из </w:t>
            </w:r>
            <w:r w:rsidR="004B50B3">
              <w:t>трёх</w:t>
            </w:r>
            <w:r>
              <w:t xml:space="preserve"> </w:t>
            </w:r>
            <w:r w:rsidR="004B50B3">
              <w:t xml:space="preserve">спаренных </w:t>
            </w:r>
            <w:r>
              <w:t>баш</w:t>
            </w:r>
            <w:r w:rsidR="004B50B3">
              <w:t>е</w:t>
            </w:r>
            <w:r>
              <w:t xml:space="preserve">н. </w:t>
            </w:r>
            <w:r w:rsidR="004B50B3">
              <w:t xml:space="preserve">С торцов крайних башен установлены шест спираль и горка. Ограждение крайних башен выполнено </w:t>
            </w:r>
            <w:r w:rsidR="00E43771">
              <w:t xml:space="preserve">в виде фанерных стенок с иллюминаторами. </w:t>
            </w:r>
            <w:r w:rsidR="004B50B3">
              <w:t xml:space="preserve"> На центральной башне установлена крыша с декоративными элементами, лестница</w:t>
            </w:r>
            <w:r w:rsidR="00E43771">
              <w:t xml:space="preserve"> и стенка наклонная со столиком</w:t>
            </w:r>
            <w:r>
              <w:t xml:space="preserve">. </w:t>
            </w:r>
            <w:r w:rsidR="00E43771">
              <w:t xml:space="preserve">Под крайними площадками расположены стенки с круглыми лазами и скамейки. Под горкой установлены детские счеты с разноцветными пластиковыми бубликами. </w:t>
            </w:r>
            <w:r>
              <w:t>Все резьбовые соединения должны быть закрыты разноцветными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0B3" w:rsidRDefault="004B50B3" w:rsidP="00D74A8E">
      <w:r>
        <w:separator/>
      </w:r>
    </w:p>
  </w:endnote>
  <w:endnote w:type="continuationSeparator" w:id="0">
    <w:p w:rsidR="004B50B3" w:rsidRDefault="004B50B3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0B3" w:rsidRDefault="004B50B3" w:rsidP="00D74A8E">
      <w:r>
        <w:separator/>
      </w:r>
    </w:p>
  </w:footnote>
  <w:footnote w:type="continuationSeparator" w:id="0">
    <w:p w:rsidR="004B50B3" w:rsidRDefault="004B50B3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05BDB"/>
    <w:rsid w:val="00011F5F"/>
    <w:rsid w:val="00012970"/>
    <w:rsid w:val="0002222F"/>
    <w:rsid w:val="00022CB9"/>
    <w:rsid w:val="00035402"/>
    <w:rsid w:val="00035CE8"/>
    <w:rsid w:val="00044805"/>
    <w:rsid w:val="00044FDF"/>
    <w:rsid w:val="000570CD"/>
    <w:rsid w:val="00057670"/>
    <w:rsid w:val="00074A24"/>
    <w:rsid w:val="00076607"/>
    <w:rsid w:val="00082560"/>
    <w:rsid w:val="00090BC4"/>
    <w:rsid w:val="0009258C"/>
    <w:rsid w:val="00093104"/>
    <w:rsid w:val="00095A22"/>
    <w:rsid w:val="000A1CD8"/>
    <w:rsid w:val="000B1711"/>
    <w:rsid w:val="000B1DDD"/>
    <w:rsid w:val="000B28A5"/>
    <w:rsid w:val="000B6783"/>
    <w:rsid w:val="000D5829"/>
    <w:rsid w:val="000E0095"/>
    <w:rsid w:val="000F416C"/>
    <w:rsid w:val="0010412D"/>
    <w:rsid w:val="00117647"/>
    <w:rsid w:val="00126692"/>
    <w:rsid w:val="00127D40"/>
    <w:rsid w:val="0013027A"/>
    <w:rsid w:val="00130ABC"/>
    <w:rsid w:val="00132645"/>
    <w:rsid w:val="001427EC"/>
    <w:rsid w:val="00142BED"/>
    <w:rsid w:val="0016012C"/>
    <w:rsid w:val="00163B70"/>
    <w:rsid w:val="00172795"/>
    <w:rsid w:val="0018081B"/>
    <w:rsid w:val="00183F5E"/>
    <w:rsid w:val="00184E1E"/>
    <w:rsid w:val="00185469"/>
    <w:rsid w:val="00191FCF"/>
    <w:rsid w:val="001931E4"/>
    <w:rsid w:val="00196E1D"/>
    <w:rsid w:val="001A0D1C"/>
    <w:rsid w:val="001B2328"/>
    <w:rsid w:val="001B45EE"/>
    <w:rsid w:val="001B6E7C"/>
    <w:rsid w:val="001C0B7C"/>
    <w:rsid w:val="001C25B2"/>
    <w:rsid w:val="001C52DA"/>
    <w:rsid w:val="001C654E"/>
    <w:rsid w:val="001D1CD2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1B7E"/>
    <w:rsid w:val="0023335C"/>
    <w:rsid w:val="00245FBA"/>
    <w:rsid w:val="00252241"/>
    <w:rsid w:val="00260843"/>
    <w:rsid w:val="0026620D"/>
    <w:rsid w:val="00270454"/>
    <w:rsid w:val="00276AED"/>
    <w:rsid w:val="00276F3A"/>
    <w:rsid w:val="00277529"/>
    <w:rsid w:val="00281186"/>
    <w:rsid w:val="002811ED"/>
    <w:rsid w:val="00285837"/>
    <w:rsid w:val="002A7D84"/>
    <w:rsid w:val="002B077B"/>
    <w:rsid w:val="002B3A2F"/>
    <w:rsid w:val="002B5056"/>
    <w:rsid w:val="002C4DCB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4336"/>
    <w:rsid w:val="003A5B25"/>
    <w:rsid w:val="003B6B25"/>
    <w:rsid w:val="003B74A7"/>
    <w:rsid w:val="003C04F2"/>
    <w:rsid w:val="003C6543"/>
    <w:rsid w:val="003C75DF"/>
    <w:rsid w:val="003D372E"/>
    <w:rsid w:val="003D4EB7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80C43"/>
    <w:rsid w:val="004814D0"/>
    <w:rsid w:val="0048649D"/>
    <w:rsid w:val="00497363"/>
    <w:rsid w:val="004A03CA"/>
    <w:rsid w:val="004B2C66"/>
    <w:rsid w:val="004B48B8"/>
    <w:rsid w:val="004B50B3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07FB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91439"/>
    <w:rsid w:val="005942E3"/>
    <w:rsid w:val="005A2579"/>
    <w:rsid w:val="005B12B0"/>
    <w:rsid w:val="005B30F1"/>
    <w:rsid w:val="005B3EEF"/>
    <w:rsid w:val="005B7DA4"/>
    <w:rsid w:val="005D328F"/>
    <w:rsid w:val="005E13BB"/>
    <w:rsid w:val="005E54D6"/>
    <w:rsid w:val="005F2EA7"/>
    <w:rsid w:val="00606B14"/>
    <w:rsid w:val="00643222"/>
    <w:rsid w:val="006439F3"/>
    <w:rsid w:val="006473A2"/>
    <w:rsid w:val="006476A9"/>
    <w:rsid w:val="00656F87"/>
    <w:rsid w:val="006622AE"/>
    <w:rsid w:val="0067772F"/>
    <w:rsid w:val="006806C4"/>
    <w:rsid w:val="00683143"/>
    <w:rsid w:val="006861C9"/>
    <w:rsid w:val="00697BA8"/>
    <w:rsid w:val="006A17B2"/>
    <w:rsid w:val="006A460F"/>
    <w:rsid w:val="006A61DF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15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31DF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564CB"/>
    <w:rsid w:val="00976C3C"/>
    <w:rsid w:val="009775B5"/>
    <w:rsid w:val="00980626"/>
    <w:rsid w:val="009814FA"/>
    <w:rsid w:val="00984E47"/>
    <w:rsid w:val="00993ABC"/>
    <w:rsid w:val="00997FA2"/>
    <w:rsid w:val="009A5C03"/>
    <w:rsid w:val="009A5DA6"/>
    <w:rsid w:val="009A63E3"/>
    <w:rsid w:val="009B2E81"/>
    <w:rsid w:val="009C27D1"/>
    <w:rsid w:val="009C471C"/>
    <w:rsid w:val="009C5FAB"/>
    <w:rsid w:val="009D2278"/>
    <w:rsid w:val="009D704B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56035"/>
    <w:rsid w:val="00A67F97"/>
    <w:rsid w:val="00A7509C"/>
    <w:rsid w:val="00A81095"/>
    <w:rsid w:val="00A87AE0"/>
    <w:rsid w:val="00A91B6B"/>
    <w:rsid w:val="00A9676E"/>
    <w:rsid w:val="00A971E9"/>
    <w:rsid w:val="00AB27E4"/>
    <w:rsid w:val="00AD00E9"/>
    <w:rsid w:val="00AD234F"/>
    <w:rsid w:val="00AD4C5E"/>
    <w:rsid w:val="00AE549B"/>
    <w:rsid w:val="00AF0B6C"/>
    <w:rsid w:val="00AF0BE6"/>
    <w:rsid w:val="00AF1E63"/>
    <w:rsid w:val="00AF5165"/>
    <w:rsid w:val="00B018A4"/>
    <w:rsid w:val="00B35BF3"/>
    <w:rsid w:val="00B3681A"/>
    <w:rsid w:val="00B450A3"/>
    <w:rsid w:val="00B5498E"/>
    <w:rsid w:val="00B5538D"/>
    <w:rsid w:val="00B56210"/>
    <w:rsid w:val="00B576F8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311"/>
    <w:rsid w:val="00C80FD5"/>
    <w:rsid w:val="00C84F20"/>
    <w:rsid w:val="00CA0AD6"/>
    <w:rsid w:val="00CA332B"/>
    <w:rsid w:val="00CA6039"/>
    <w:rsid w:val="00CC31D3"/>
    <w:rsid w:val="00CC4A8A"/>
    <w:rsid w:val="00CC5808"/>
    <w:rsid w:val="00CD24E8"/>
    <w:rsid w:val="00CD42CF"/>
    <w:rsid w:val="00CD722F"/>
    <w:rsid w:val="00CF67EC"/>
    <w:rsid w:val="00D038EB"/>
    <w:rsid w:val="00D10C2D"/>
    <w:rsid w:val="00D13E2B"/>
    <w:rsid w:val="00D178CA"/>
    <w:rsid w:val="00D20C9B"/>
    <w:rsid w:val="00D21215"/>
    <w:rsid w:val="00D24D25"/>
    <w:rsid w:val="00D27F5E"/>
    <w:rsid w:val="00D42208"/>
    <w:rsid w:val="00D509EF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A6397"/>
    <w:rsid w:val="00DB354C"/>
    <w:rsid w:val="00DB7D49"/>
    <w:rsid w:val="00DC2ED3"/>
    <w:rsid w:val="00DD082F"/>
    <w:rsid w:val="00DD4C3E"/>
    <w:rsid w:val="00DD4FA2"/>
    <w:rsid w:val="00DE428E"/>
    <w:rsid w:val="00DE7429"/>
    <w:rsid w:val="00DF7FE9"/>
    <w:rsid w:val="00E017DC"/>
    <w:rsid w:val="00E05C5F"/>
    <w:rsid w:val="00E0677E"/>
    <w:rsid w:val="00E126B5"/>
    <w:rsid w:val="00E150F3"/>
    <w:rsid w:val="00E15A44"/>
    <w:rsid w:val="00E27A3D"/>
    <w:rsid w:val="00E379DC"/>
    <w:rsid w:val="00E42433"/>
    <w:rsid w:val="00E43771"/>
    <w:rsid w:val="00E50BF2"/>
    <w:rsid w:val="00E53066"/>
    <w:rsid w:val="00E53B75"/>
    <w:rsid w:val="00E557C9"/>
    <w:rsid w:val="00E843F7"/>
    <w:rsid w:val="00E90CA7"/>
    <w:rsid w:val="00E91D54"/>
    <w:rsid w:val="00E9220D"/>
    <w:rsid w:val="00E938B0"/>
    <w:rsid w:val="00E948FA"/>
    <w:rsid w:val="00EA241A"/>
    <w:rsid w:val="00EC240D"/>
    <w:rsid w:val="00EC460A"/>
    <w:rsid w:val="00ED3A84"/>
    <w:rsid w:val="00ED4A2B"/>
    <w:rsid w:val="00EE239D"/>
    <w:rsid w:val="00F01295"/>
    <w:rsid w:val="00F02DFC"/>
    <w:rsid w:val="00F1353F"/>
    <w:rsid w:val="00F17BCF"/>
    <w:rsid w:val="00F20072"/>
    <w:rsid w:val="00F2492D"/>
    <w:rsid w:val="00F2715F"/>
    <w:rsid w:val="00F3147B"/>
    <w:rsid w:val="00F51622"/>
    <w:rsid w:val="00F63BA0"/>
    <w:rsid w:val="00F72115"/>
    <w:rsid w:val="00F9173A"/>
    <w:rsid w:val="00F94C2E"/>
    <w:rsid w:val="00FA1728"/>
    <w:rsid w:val="00FA3AAE"/>
    <w:rsid w:val="00FA6A96"/>
    <w:rsid w:val="00FB11EB"/>
    <w:rsid w:val="00FB2CBB"/>
    <w:rsid w:val="00FB5209"/>
    <w:rsid w:val="00FC17DD"/>
    <w:rsid w:val="00FC4AA3"/>
    <w:rsid w:val="00FC584F"/>
    <w:rsid w:val="00FD21AB"/>
    <w:rsid w:val="00FD774A"/>
    <w:rsid w:val="00FD7B8E"/>
    <w:rsid w:val="00FF286F"/>
    <w:rsid w:val="00FF31DC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46C54-BAAB-4542-B2B4-D9945D88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8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75C30-EFFF-429F-9A7E-789CD2E3F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Konst_8</cp:lastModifiedBy>
  <cp:revision>4</cp:revision>
  <cp:lastPrinted>2011-05-31T12:13:00Z</cp:lastPrinted>
  <dcterms:created xsi:type="dcterms:W3CDTF">2021-12-09T08:59:00Z</dcterms:created>
  <dcterms:modified xsi:type="dcterms:W3CDTF">2021-12-09T09:05:00Z</dcterms:modified>
</cp:coreProperties>
</file>