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9C51AF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9C51AF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C25A50" w:rsidRPr="00F07424" w:rsidTr="009C51A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Default="00C25A50" w:rsidP="0018081B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Детский игровой комплекс</w:t>
            </w:r>
          </w:p>
          <w:p w:rsidR="00FC17DD" w:rsidRDefault="00FC17DD" w:rsidP="001808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ДИК 1.22</w:t>
            </w:r>
            <w:r w:rsidR="00960CEF">
              <w:rPr>
                <w:b/>
                <w:bCs/>
                <w:sz w:val="22"/>
                <w:szCs w:val="22"/>
              </w:rPr>
              <w:t>5</w:t>
            </w:r>
          </w:p>
          <w:p w:rsidR="007A5EF3" w:rsidRDefault="007A5EF3" w:rsidP="0018081B">
            <w:pPr>
              <w:snapToGrid w:val="0"/>
              <w:jc w:val="center"/>
              <w:rPr>
                <w:b/>
                <w:bCs/>
              </w:rPr>
            </w:pPr>
          </w:p>
          <w:p w:rsidR="00FC17DD" w:rsidRPr="00E91D54" w:rsidRDefault="00701444" w:rsidP="00FC17DD">
            <w:pPr>
              <w:snapToGrid w:val="0"/>
              <w:ind w:left="-959" w:right="-81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3516B1" wp14:editId="27B46C61">
                  <wp:extent cx="1721402" cy="129105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аталог 2013 год\Продукция 2013\1 ДИК\Детские Игровые Комплексы\ДИК 1.225\Дизайнерам\ДИК 1.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02" cy="129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5A50" w:rsidRPr="00664E88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6362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C25A50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960CEF" w:rsidP="00D24B4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="00FC17DD">
              <w:rPr>
                <w:bCs/>
                <w:sz w:val="22"/>
                <w:szCs w:val="22"/>
              </w:rPr>
              <w:t>00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6362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7A5EF3" w:rsidP="00ED119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5350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6362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960CEF" w:rsidP="00ED119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7A5EF3">
              <w:rPr>
                <w:bCs/>
                <w:sz w:val="22"/>
                <w:szCs w:val="22"/>
              </w:rPr>
              <w:t>3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F6C66" w:rsidRPr="00664E88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Default="001F6C6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960CEF" w:rsidRDefault="001F6C66" w:rsidP="00D24B4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1200</w:t>
            </w:r>
            <w:r w:rsidR="00960CEF">
              <w:rPr>
                <w:bCs/>
                <w:sz w:val="22"/>
                <w:szCs w:val="22"/>
              </w:rPr>
              <w:t>, 1500</w:t>
            </w:r>
          </w:p>
        </w:tc>
      </w:tr>
      <w:tr w:rsidR="00C25A50" w:rsidRPr="00E5065E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FC17DD" w:rsidRPr="004B1849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FC17DD" w:rsidP="00B801C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Default="005E4B5A" w:rsidP="007A5EF3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4" w:name="OLE_LINK36"/>
            <w:r w:rsidRPr="005E4B5A">
              <w:rPr>
                <w:color w:val="000000"/>
              </w:rPr>
              <w:t>Столб</w:t>
            </w:r>
            <w:r w:rsidR="004B2751">
              <w:rPr>
                <w:color w:val="000000"/>
              </w:rPr>
              <w:t xml:space="preserve"> ДПК</w:t>
            </w:r>
            <w:r w:rsidRPr="005E4B5A">
              <w:rPr>
                <w:color w:val="000000"/>
              </w:rPr>
              <w:t xml:space="preserve"> 100х100х300. 00.00.00.00</w:t>
            </w:r>
            <w:r>
              <w:rPr>
                <w:color w:val="000000"/>
              </w:rPr>
              <w:t xml:space="preserve"> – 1 шт..</w:t>
            </w:r>
          </w:p>
          <w:p w:rsidR="007A5EF3" w:rsidRPr="00D53477" w:rsidRDefault="007A5EF3" w:rsidP="007A5E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5EF3">
              <w:rPr>
                <w:color w:val="000000"/>
              </w:rPr>
              <w:t>Столб</w:t>
            </w:r>
            <w:r w:rsidR="004B2751">
              <w:rPr>
                <w:color w:val="000000"/>
              </w:rPr>
              <w:t xml:space="preserve"> ДПК</w:t>
            </w:r>
            <w:r w:rsidRPr="007A5EF3">
              <w:rPr>
                <w:color w:val="000000"/>
              </w:rPr>
              <w:t xml:space="preserve"> 100х100х2500. 12.12.00.00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7A5EF3" w:rsidRDefault="005E4B5A" w:rsidP="007A5EF3">
            <w:pPr>
              <w:rPr>
                <w:color w:val="000000"/>
              </w:rPr>
            </w:pPr>
            <w:r w:rsidRPr="005E4B5A">
              <w:rPr>
                <w:color w:val="000000"/>
              </w:rPr>
              <w:t xml:space="preserve">Столб </w:t>
            </w:r>
            <w:r w:rsidR="004B2751">
              <w:rPr>
                <w:color w:val="000000"/>
              </w:rPr>
              <w:t xml:space="preserve">ДПК </w:t>
            </w:r>
            <w:r w:rsidRPr="005E4B5A">
              <w:rPr>
                <w:color w:val="000000"/>
              </w:rPr>
              <w:t>100х100х3000. 12-15.15.00.12</w:t>
            </w:r>
            <w:r>
              <w:rPr>
                <w:color w:val="000000"/>
              </w:rPr>
              <w:t xml:space="preserve"> </w:t>
            </w:r>
            <w:r w:rsidR="007A5EF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</w:t>
            </w:r>
            <w:r w:rsidR="007A5EF3">
              <w:rPr>
                <w:color w:val="000000"/>
              </w:rPr>
              <w:t xml:space="preserve"> шт.</w:t>
            </w:r>
          </w:p>
          <w:p w:rsidR="005E4B5A" w:rsidRDefault="005E4B5A" w:rsidP="007A5EF3">
            <w:pPr>
              <w:rPr>
                <w:color w:val="000000"/>
              </w:rPr>
            </w:pPr>
            <w:r w:rsidRPr="005E4B5A">
              <w:rPr>
                <w:color w:val="000000"/>
              </w:rPr>
              <w:t xml:space="preserve">Столб </w:t>
            </w:r>
            <w:r w:rsidR="004B2751">
              <w:rPr>
                <w:color w:val="000000"/>
              </w:rPr>
              <w:t xml:space="preserve">ДПК </w:t>
            </w:r>
            <w:r w:rsidRPr="005E4B5A">
              <w:rPr>
                <w:color w:val="000000"/>
              </w:rPr>
              <w:t>100х100х3000. 12-15.12.00.15</w:t>
            </w:r>
            <w:r>
              <w:rPr>
                <w:color w:val="000000"/>
              </w:rPr>
              <w:t xml:space="preserve"> – 1 шт.</w:t>
            </w:r>
          </w:p>
          <w:p w:rsidR="005E4B5A" w:rsidRDefault="005E4B5A" w:rsidP="007A5EF3">
            <w:pPr>
              <w:rPr>
                <w:color w:val="000000"/>
              </w:rPr>
            </w:pPr>
            <w:r w:rsidRPr="005E4B5A">
              <w:rPr>
                <w:color w:val="000000"/>
              </w:rPr>
              <w:t xml:space="preserve">Столб </w:t>
            </w:r>
            <w:r w:rsidR="004B2751">
              <w:rPr>
                <w:color w:val="000000"/>
              </w:rPr>
              <w:t xml:space="preserve">ДПК </w:t>
            </w:r>
            <w:r w:rsidRPr="005E4B5A">
              <w:rPr>
                <w:color w:val="000000"/>
              </w:rPr>
              <w:t>100х100х3000. 15.15.00.00</w:t>
            </w:r>
            <w:r>
              <w:rPr>
                <w:color w:val="000000"/>
              </w:rPr>
              <w:t xml:space="preserve"> – 2 шт.</w:t>
            </w:r>
          </w:p>
          <w:p w:rsidR="004B2751" w:rsidRDefault="004B2751" w:rsidP="007A5EF3">
            <w:pPr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7A5EF3" w:rsidRDefault="007A5EF3" w:rsidP="007A5EF3">
            <w:pPr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FC17DD" w:rsidRPr="00E91D54" w:rsidRDefault="007A5EF3" w:rsidP="007A5EF3">
            <w:pPr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4"/>
          </w:p>
        </w:tc>
      </w:tr>
      <w:tr w:rsidR="005E4B5A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4816" w:rsidRDefault="005E4B5A" w:rsidP="005E4B5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4816" w:rsidRDefault="005E4B5A" w:rsidP="005E4B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кол-ве 2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 xml:space="preserve">со </w:t>
            </w:r>
            <w:r w:rsidRPr="00E94816">
              <w:rPr>
                <w:color w:val="000000"/>
              </w:rPr>
              <w:lastRenderedPageBreak/>
              <w:t>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tr w:rsidR="005E4B5A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1D54" w:rsidRDefault="005E4B5A" w:rsidP="005E4B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4816" w:rsidRDefault="005E4B5A" w:rsidP="005E4B5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1500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A" w:rsidRPr="00E94816" w:rsidRDefault="005E4B5A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 w:rsidR="009C51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7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>станавливаться 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FC17DD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B801C4">
            <w:pPr>
              <w:snapToGrid w:val="0"/>
              <w:rPr>
                <w:bCs/>
              </w:rPr>
            </w:pPr>
            <w:r>
              <w:rPr>
                <w:bCs/>
              </w:rPr>
              <w:t>Горка 1500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0F3461" w:rsidRDefault="00960CE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CEF">
              <w:t>В кол-ве 1</w:t>
            </w:r>
            <w:r w:rsidR="009C51AF">
              <w:t xml:space="preserve"> </w:t>
            </w:r>
            <w:r w:rsidRPr="00960CEF">
              <w:t>шт.</w:t>
            </w:r>
            <w:bookmarkStart w:id="5" w:name="OLE_LINK61"/>
            <w:bookmarkStart w:id="6" w:name="OLE_LINK62"/>
            <w:bookmarkStart w:id="7" w:name="OLE_LINK63"/>
            <w:bookmarkStart w:id="8" w:name="OLE_LINK65"/>
            <w:bookmarkStart w:id="9" w:name="OLE_LINK75"/>
            <w:bookmarkStart w:id="10" w:name="OLE_LINK76"/>
            <w:bookmarkStart w:id="11" w:name="OLE_LINK77"/>
            <w:bookmarkStart w:id="12" w:name="OLE_LINK78"/>
            <w:bookmarkStart w:id="13" w:name="OLE_LINK79"/>
            <w:bookmarkStart w:id="14" w:name="OLE_LINK80"/>
            <w:bookmarkStart w:id="15" w:name="OLE_LINK83"/>
            <w:bookmarkStart w:id="16" w:name="OLE_LINK84"/>
            <w:bookmarkStart w:id="17" w:name="OLE_LINK85"/>
            <w:r w:rsidR="009C51AF" w:rsidRPr="000F3461">
              <w:rPr>
                <w:color w:val="000000"/>
              </w:rPr>
              <w:t xml:space="preserve"> Верхний каркас ската должен быть выполнен из перемычек и </w:t>
            </w:r>
            <w:r w:rsidR="009C51AF" w:rsidRPr="000F3461">
              <w:t xml:space="preserve">продольных направляющих, изготовленных из профильной трубы сечением не менее 50х25 </w:t>
            </w:r>
            <w:r w:rsidR="009C51AF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9C51AF" w:rsidRPr="000F3461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FC17DD" w:rsidRPr="00E91D54" w:rsidRDefault="009C51AF" w:rsidP="009C51AF"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</w:t>
            </w:r>
            <w:r w:rsidRPr="000F3461">
              <w:rPr>
                <w:color w:val="000000"/>
              </w:rPr>
              <w:lastRenderedPageBreak/>
              <w:t>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  <w:tr w:rsidR="009C51AF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9C51AF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A91B05" w:rsidRDefault="009C51AF" w:rsidP="009C51AF">
            <w:r w:rsidRPr="008E38A1">
              <w:t>Ограждение металлическое 900х700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A91B05" w:rsidRDefault="009C51AF" w:rsidP="009C51AF">
            <w:r>
              <w:t xml:space="preserve">В кол-ве 2 </w:t>
            </w:r>
            <w:r w:rsidRPr="00960CEF">
              <w:t xml:space="preserve">шт. </w:t>
            </w:r>
            <w:r>
              <w:t>Б</w:t>
            </w:r>
            <w:r w:rsidRPr="00960CEF">
              <w:t>алясины</w:t>
            </w:r>
            <w:r>
              <w:t xml:space="preserve"> ограждения, в количестве</w:t>
            </w:r>
            <w:r w:rsidRPr="00960CEF">
              <w:t xml:space="preserve"> </w:t>
            </w:r>
            <w:r>
              <w:t>девяти</w:t>
            </w:r>
            <w:r w:rsidRPr="00960CEF">
              <w:t xml:space="preserve"> шт</w:t>
            </w:r>
            <w:r>
              <w:t>ук,</w:t>
            </w:r>
            <w:r w:rsidRPr="00960CEF">
              <w:t xml:space="preserve"> должны быть</w:t>
            </w:r>
            <w:r>
              <w:t xml:space="preserve"> </w:t>
            </w:r>
            <w:r w:rsidRPr="00960CEF">
              <w:t xml:space="preserve">выполнены из </w:t>
            </w:r>
            <w:r>
              <w:t xml:space="preserve">изогнутой трубы диаметром не менее 20 </w:t>
            </w:r>
            <w:r w:rsidRPr="00960CEF">
              <w:t xml:space="preserve">мм </w:t>
            </w:r>
            <w:r>
              <w:t>с</w:t>
            </w:r>
            <w:r w:rsidRPr="00960CEF">
              <w:t xml:space="preserve"> толщиной стенки не менее 2</w:t>
            </w:r>
            <w:r>
              <w:t xml:space="preserve"> мм.</w:t>
            </w:r>
            <w:r w:rsidRPr="00960CEF">
              <w:t xml:space="preserve"> Горизонтальные перекладины </w:t>
            </w:r>
            <w:r>
              <w:t xml:space="preserve">ограждения, в количестве двух </w:t>
            </w:r>
            <w:r w:rsidRPr="00960CEF">
              <w:t>шт</w:t>
            </w:r>
            <w:r>
              <w:t>ук, должны быть</w:t>
            </w:r>
            <w:r w:rsidRPr="00960CEF">
              <w:t xml:space="preserve"> выполнены из трубы диаметром не менее 32</w:t>
            </w:r>
            <w:r>
              <w:t xml:space="preserve"> мм с</w:t>
            </w:r>
            <w:r w:rsidRPr="00960CEF">
              <w:t xml:space="preserve"> толщиной стенки не менее </w:t>
            </w:r>
            <w:r>
              <w:t>2</w:t>
            </w:r>
            <w:r w:rsidRPr="00960CEF">
              <w:t>,</w:t>
            </w:r>
            <w:r>
              <w:t>3</w:t>
            </w:r>
            <w:r w:rsidRPr="00960CEF">
              <w:t>5</w:t>
            </w:r>
            <w:r>
              <w:t xml:space="preserve"> </w:t>
            </w:r>
            <w:r w:rsidRPr="00960CEF">
              <w:t>мм</w:t>
            </w:r>
            <w:r>
              <w:t xml:space="preserve">. К горизонтальным перекладинам должны быть приварены </w:t>
            </w:r>
            <w:r>
              <w:rPr>
                <w:color w:val="000000"/>
              </w:rPr>
              <w:t>ушки, в количестве четырёх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9C51AF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  <w:bookmarkStart w:id="18" w:name="OLE_LINK322"/>
            <w:bookmarkStart w:id="19" w:name="OLE_LINK323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кол-ве 2 шт</w:t>
            </w:r>
            <w:r w:rsidRPr="008C154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Ручка д</w:t>
            </w:r>
            <w:r w:rsidRPr="008C1548">
              <w:rPr>
                <w:color w:val="000000"/>
              </w:rPr>
              <w:t xml:space="preserve">олжна </w:t>
            </w:r>
            <w:r>
              <w:rPr>
                <w:color w:val="000000"/>
              </w:rPr>
              <w:t>быть изготовлена</w:t>
            </w:r>
            <w:r w:rsidRPr="008C1548">
              <w:rPr>
                <w:color w:val="000000"/>
              </w:rPr>
              <w:t xml:space="preserve"> из металличе</w:t>
            </w:r>
            <w:r>
              <w:rPr>
                <w:color w:val="000000"/>
              </w:rPr>
              <w:t xml:space="preserve">ской трубы диметром не менее </w:t>
            </w:r>
            <w:r w:rsidRPr="008C154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2 </w:t>
            </w:r>
            <w:r w:rsidRPr="008C154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8C1548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2.5 мм и двух штампованных</w:t>
            </w:r>
            <w:r w:rsidRPr="00713472">
              <w:rPr>
                <w:color w:val="000000"/>
              </w:rPr>
              <w:t xml:space="preserve"> уш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>к,</w:t>
            </w:r>
            <w:r>
              <w:rPr>
                <w:color w:val="000000"/>
              </w:rPr>
              <w:t xml:space="preserve"> выполненных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мм, под 4 самореза. Вся металлическая поверхность обрезинена слоем яркой однородной резины, толщина резинового слоя ручки не менее 5 мм. Обрезинивание металла должно быть выполнено методом литья под давлением. Внешняя поверхность резины должна иметь фактуру шагрени. Температура эксплуатации прорезиненной ручки должна быть от -50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до +60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>. Резиновая поверхность ручки должна препятствовать соскальзыванию руки и исключать примерзание мягких тканей человека в холодное время года. За счет обрезинивания должна достигаться более высокая травмобезопасность, атмосферостойкость и износостойкость оборудования.</w:t>
            </w:r>
          </w:p>
        </w:tc>
      </w:tr>
      <w:tr w:rsidR="009C51AF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  <w:bookmarkStart w:id="20" w:name="OLE_LINK328"/>
            <w:bookmarkStart w:id="21" w:name="OLE_LINK329"/>
            <w:bookmarkStart w:id="22" w:name="OLE_LINK357"/>
            <w:bookmarkStart w:id="23" w:name="OLE_LINK358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кол-ве 6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18"/>
      <w:bookmarkEnd w:id="19"/>
      <w:bookmarkEnd w:id="20"/>
      <w:bookmarkEnd w:id="21"/>
      <w:bookmarkEnd w:id="22"/>
      <w:bookmarkEnd w:id="23"/>
      <w:tr w:rsidR="009C51AF" w:rsidRPr="00E5065E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0475F1" w:rsidRDefault="009C51AF" w:rsidP="009C51AF">
            <w:pPr>
              <w:snapToGrid w:val="0"/>
              <w:rPr>
                <w:bCs/>
                <w:color w:val="000000"/>
              </w:rPr>
            </w:pPr>
            <w:r w:rsidRPr="00DD19B5">
              <w:rPr>
                <w:bCs/>
                <w:color w:val="000000"/>
              </w:rPr>
              <w:t>Трап-барабан в сборе с перекладиной и канатом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1 шт. Каркас трапа должен быть </w:t>
            </w:r>
            <w:r w:rsidRPr="000475F1">
              <w:rPr>
                <w:bCs/>
              </w:rPr>
              <w:t>выполне</w:t>
            </w:r>
            <w:r>
              <w:rPr>
                <w:bCs/>
              </w:rPr>
              <w:t xml:space="preserve">н из трубы диаметром не менее 40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2,5 мм, трубы диаметром не менее 42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2,35 мм и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2,5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. Каркас трапа должен </w:t>
            </w:r>
            <w:r w:rsidRPr="00B43FB9">
              <w:rPr>
                <w:bCs/>
              </w:rPr>
              <w:t>заканчив</w:t>
            </w:r>
            <w:r>
              <w:rPr>
                <w:bCs/>
              </w:rPr>
              <w:t xml:space="preserve">аться монтажным круглым фланцем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3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, который бетонируется в землю. </w:t>
            </w:r>
          </w:p>
          <w:p w:rsidR="009C51AF" w:rsidRDefault="009C51AF" w:rsidP="009C51AF">
            <w:pPr>
              <w:snapToGrid w:val="0"/>
              <w:rPr>
                <w:bCs/>
              </w:rPr>
            </w:pPr>
            <w:r>
              <w:rPr>
                <w:bCs/>
              </w:rPr>
              <w:t>Трап барабан должен быть</w:t>
            </w:r>
            <w:r w:rsidRPr="00B43FB9">
              <w:rPr>
                <w:bCs/>
              </w:rPr>
              <w:t xml:space="preserve"> </w:t>
            </w:r>
            <w:r>
              <w:rPr>
                <w:bCs/>
              </w:rPr>
              <w:t xml:space="preserve">обшит деревянным </w:t>
            </w:r>
            <w:r w:rsidRPr="000475F1">
              <w:rPr>
                <w:bCs/>
              </w:rPr>
              <w:t>брусом сечением не менее</w:t>
            </w:r>
            <w:r>
              <w:rPr>
                <w:bCs/>
              </w:rPr>
              <w:t xml:space="preserve"> 90х40 мм. </w:t>
            </w:r>
          </w:p>
          <w:p w:rsidR="009C51AF" w:rsidRPr="00E91D54" w:rsidRDefault="009C51AF" w:rsidP="009C51AF">
            <w:pPr>
              <w:snapToGrid w:val="0"/>
              <w:rPr>
                <w:bCs/>
              </w:rPr>
            </w:pPr>
            <w:r>
              <w:rPr>
                <w:color w:val="000000"/>
              </w:rPr>
              <w:t>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2,35. Канат должен быть полипропиленовый, диаметром не менее 16 мм. Снизу канат должен крепиться к каркасу трапа барабана, сверху к усиленной перекладине.</w:t>
            </w:r>
          </w:p>
        </w:tc>
      </w:tr>
      <w:tr w:rsidR="009C51AF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E91D54" w:rsidRDefault="009C51AF" w:rsidP="009C51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Default="009C51AF" w:rsidP="009C51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4357">
              <w:rPr>
                <w:color w:val="000000"/>
              </w:rPr>
              <w:t xml:space="preserve">Крыша металлическая со столбом </w:t>
            </w:r>
          </w:p>
          <w:p w:rsidR="009C51AF" w:rsidRPr="004510E7" w:rsidRDefault="009C51AF" w:rsidP="009C51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AF" w:rsidRPr="002D34C3" w:rsidRDefault="009C51AF" w:rsidP="009C51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В кол-ве 1 шт. Крыша должна состоять из четырех гнутых металлических кронштейнов, соединенных между собой при помощи деревянного столба сечением не менее 100х100 мм. Кронштейны должны быть </w:t>
            </w:r>
            <w:r w:rsidRPr="0058515F">
              <w:t>выполне</w:t>
            </w:r>
            <w:r>
              <w:t>ны из трубы диаметром не менее 3</w:t>
            </w:r>
            <w:r w:rsidRPr="0058515F">
              <w:t>2</w:t>
            </w:r>
            <w:r>
              <w:t xml:space="preserve"> мм с</w:t>
            </w:r>
            <w:r w:rsidRPr="0058515F">
              <w:t xml:space="preserve"> толщиной стенки не менее </w:t>
            </w:r>
            <w:r>
              <w:t>2</w:t>
            </w:r>
            <w:r w:rsidRPr="0058515F">
              <w:t>,</w:t>
            </w:r>
            <w:r>
              <w:t>3</w:t>
            </w:r>
            <w:r w:rsidRPr="0058515F">
              <w:t>5</w:t>
            </w:r>
            <w:r>
              <w:t xml:space="preserve"> </w:t>
            </w:r>
            <w:r w:rsidRPr="0058515F">
              <w:t>мм</w:t>
            </w:r>
            <w:r>
              <w:t xml:space="preserve"> и </w:t>
            </w:r>
            <w:r w:rsidRPr="0058515F">
              <w:t>из листовой стали толщиной не менее 4 мм</w:t>
            </w:r>
            <w:r>
              <w:t xml:space="preserve">. </w:t>
            </w:r>
          </w:p>
        </w:tc>
      </w:tr>
      <w:tr w:rsidR="00C25A50" w:rsidTr="009C51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51" w:rsidRDefault="004B2751" w:rsidP="004B2751"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4B2751" w:rsidRDefault="004B2751" w:rsidP="004B2751">
            <w:r>
              <w:t>Преимущество перед деревянным брусом:</w:t>
            </w:r>
          </w:p>
          <w:p w:rsidR="004B2751" w:rsidRDefault="004B2751" w:rsidP="004B2751"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4B2751" w:rsidRDefault="004B2751" w:rsidP="004B2751"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4B2751" w:rsidRDefault="004B2751" w:rsidP="004B2751"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4B2751" w:rsidRDefault="004B2751" w:rsidP="004B2751"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4B2751" w:rsidRDefault="004B2751" w:rsidP="004B2751">
            <w:r>
              <w:t>- Пожаробезопасность — материал не поддерживает горение.</w:t>
            </w:r>
          </w:p>
          <w:p w:rsidR="004B2751" w:rsidRDefault="004B2751" w:rsidP="004B2751">
            <w:r>
              <w:t xml:space="preserve">Изделия из ДПК отличаются высокой атмосферной, механической и химической устойчивостью, влаго- и водостойкостью, не подвержены короблению и растрескиванию. Хорошо держат металлический крепёж и не вызывают его коррозии. </w:t>
            </w:r>
          </w:p>
          <w:p w:rsidR="00653D63" w:rsidRDefault="00653D63" w:rsidP="00653D6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C25A50" w:rsidRPr="00E91D54" w:rsidRDefault="00653D63" w:rsidP="004B2751"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</w:t>
            </w:r>
            <w:r w:rsidR="004B2751">
              <w:rPr>
                <w:color w:val="000000"/>
                <w:lang w:eastAsia="en-US"/>
              </w:rPr>
              <w:t>й краской. Заглушки пластиковые</w:t>
            </w:r>
            <w:r>
              <w:rPr>
                <w:color w:val="000000"/>
                <w:lang w:eastAsia="en-US"/>
              </w:rPr>
              <w:t>. Канат полипропиленовый. Все метизы оцинкованы.</w:t>
            </w:r>
          </w:p>
        </w:tc>
      </w:tr>
      <w:tr w:rsidR="00C25A50" w:rsidTr="009C51AF">
        <w:trPr>
          <w:trHeight w:val="17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3E7BC7">
            <w:r>
              <w:t xml:space="preserve">Детский игровой комплекс </w:t>
            </w:r>
            <w:r w:rsidR="00653D63">
              <w:t xml:space="preserve">состоит из двух разновысоких </w:t>
            </w:r>
            <w:r>
              <w:t>башен</w:t>
            </w:r>
            <w:r w:rsidR="00072E28">
              <w:t>.</w:t>
            </w:r>
            <w:r w:rsidR="00653D63">
              <w:t xml:space="preserve"> </w:t>
            </w:r>
            <w:r w:rsidR="00072E28">
              <w:t>Н</w:t>
            </w:r>
            <w:r>
              <w:t>а одной из башен установ</w:t>
            </w:r>
            <w:bookmarkStart w:id="24" w:name="_GoBack"/>
            <w:bookmarkEnd w:id="24"/>
            <w:r>
              <w:t>лена металлическая крыша, лестница, горка, металлическое ограждение, на другой башн</w:t>
            </w:r>
            <w:r w:rsidR="00701444">
              <w:t>е</w:t>
            </w:r>
            <w:r>
              <w:t xml:space="preserve"> установлено трап барабан с канатом, шведская стенка, металли</w:t>
            </w:r>
            <w:r w:rsidR="007840D9">
              <w:t>ческое ограждение</w:t>
            </w:r>
            <w:r>
              <w:t xml:space="preserve">. 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70" w:rsidRDefault="00196570" w:rsidP="00D74A8E">
      <w:r>
        <w:separator/>
      </w:r>
    </w:p>
  </w:endnote>
  <w:endnote w:type="continuationSeparator" w:id="0">
    <w:p w:rsidR="00196570" w:rsidRDefault="00196570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70" w:rsidRDefault="00196570" w:rsidP="00D74A8E">
      <w:r>
        <w:separator/>
      </w:r>
    </w:p>
  </w:footnote>
  <w:footnote w:type="continuationSeparator" w:id="0">
    <w:p w:rsidR="00196570" w:rsidRDefault="00196570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05D90"/>
    <w:rsid w:val="00011F5F"/>
    <w:rsid w:val="00012970"/>
    <w:rsid w:val="00035CE8"/>
    <w:rsid w:val="00044805"/>
    <w:rsid w:val="000475F1"/>
    <w:rsid w:val="000570CD"/>
    <w:rsid w:val="00057670"/>
    <w:rsid w:val="00072E28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112F"/>
    <w:rsid w:val="00126692"/>
    <w:rsid w:val="0013027A"/>
    <w:rsid w:val="00130ABC"/>
    <w:rsid w:val="001427EC"/>
    <w:rsid w:val="00150C9C"/>
    <w:rsid w:val="0016012C"/>
    <w:rsid w:val="001607CB"/>
    <w:rsid w:val="00172795"/>
    <w:rsid w:val="00174FD9"/>
    <w:rsid w:val="0018081B"/>
    <w:rsid w:val="00183F5E"/>
    <w:rsid w:val="00191FCF"/>
    <w:rsid w:val="001931E4"/>
    <w:rsid w:val="001945D6"/>
    <w:rsid w:val="00196570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6C66"/>
    <w:rsid w:val="00200BAB"/>
    <w:rsid w:val="002066BB"/>
    <w:rsid w:val="00213697"/>
    <w:rsid w:val="00213881"/>
    <w:rsid w:val="00213F09"/>
    <w:rsid w:val="00220352"/>
    <w:rsid w:val="0022573B"/>
    <w:rsid w:val="0023335C"/>
    <w:rsid w:val="002350BC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B7627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561CA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3E688F"/>
    <w:rsid w:val="003E7BC7"/>
    <w:rsid w:val="004023F9"/>
    <w:rsid w:val="00410CA6"/>
    <w:rsid w:val="00415373"/>
    <w:rsid w:val="00417189"/>
    <w:rsid w:val="0042201F"/>
    <w:rsid w:val="00425BB4"/>
    <w:rsid w:val="00430853"/>
    <w:rsid w:val="0043745F"/>
    <w:rsid w:val="00440CA5"/>
    <w:rsid w:val="0044679E"/>
    <w:rsid w:val="004472FB"/>
    <w:rsid w:val="00480C43"/>
    <w:rsid w:val="004814D0"/>
    <w:rsid w:val="004A03CA"/>
    <w:rsid w:val="004B2751"/>
    <w:rsid w:val="004B2C66"/>
    <w:rsid w:val="004B48B8"/>
    <w:rsid w:val="004C1A16"/>
    <w:rsid w:val="004C29C0"/>
    <w:rsid w:val="004C6003"/>
    <w:rsid w:val="004D2067"/>
    <w:rsid w:val="004D3C57"/>
    <w:rsid w:val="004E21FE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8515F"/>
    <w:rsid w:val="005A2579"/>
    <w:rsid w:val="005B12B0"/>
    <w:rsid w:val="005B3EEF"/>
    <w:rsid w:val="005B7DA4"/>
    <w:rsid w:val="005D328F"/>
    <w:rsid w:val="005E13BB"/>
    <w:rsid w:val="005E4B5A"/>
    <w:rsid w:val="005E54D6"/>
    <w:rsid w:val="005F2EA7"/>
    <w:rsid w:val="00606B14"/>
    <w:rsid w:val="00643222"/>
    <w:rsid w:val="006473A2"/>
    <w:rsid w:val="00653D63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5212"/>
    <w:rsid w:val="006E0018"/>
    <w:rsid w:val="006E06D9"/>
    <w:rsid w:val="006E3798"/>
    <w:rsid w:val="006E52D7"/>
    <w:rsid w:val="00701444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840D9"/>
    <w:rsid w:val="0079705E"/>
    <w:rsid w:val="007A1E5D"/>
    <w:rsid w:val="007A2CC9"/>
    <w:rsid w:val="007A5EF3"/>
    <w:rsid w:val="007A6D59"/>
    <w:rsid w:val="007B5789"/>
    <w:rsid w:val="007C3A04"/>
    <w:rsid w:val="007E1BD5"/>
    <w:rsid w:val="008008AB"/>
    <w:rsid w:val="00804157"/>
    <w:rsid w:val="00806BA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1C81"/>
    <w:rsid w:val="008B3C88"/>
    <w:rsid w:val="008B5346"/>
    <w:rsid w:val="008C47FF"/>
    <w:rsid w:val="008D2CBD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0CEF"/>
    <w:rsid w:val="00976C3C"/>
    <w:rsid w:val="009775B5"/>
    <w:rsid w:val="00980626"/>
    <w:rsid w:val="00984E47"/>
    <w:rsid w:val="00997FA2"/>
    <w:rsid w:val="009A5DA6"/>
    <w:rsid w:val="009B2E81"/>
    <w:rsid w:val="009C27D1"/>
    <w:rsid w:val="009C51AF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5051A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0C04"/>
    <w:rsid w:val="00B35BEA"/>
    <w:rsid w:val="00B3681A"/>
    <w:rsid w:val="00B43FB9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110E9"/>
    <w:rsid w:val="00D20C9B"/>
    <w:rsid w:val="00D21215"/>
    <w:rsid w:val="00D24B41"/>
    <w:rsid w:val="00D24D25"/>
    <w:rsid w:val="00D42208"/>
    <w:rsid w:val="00D4485D"/>
    <w:rsid w:val="00D64CDA"/>
    <w:rsid w:val="00D737F5"/>
    <w:rsid w:val="00D74A8E"/>
    <w:rsid w:val="00D80945"/>
    <w:rsid w:val="00D928A0"/>
    <w:rsid w:val="00D964E6"/>
    <w:rsid w:val="00DA053B"/>
    <w:rsid w:val="00DA16BC"/>
    <w:rsid w:val="00DA27E4"/>
    <w:rsid w:val="00DB7D49"/>
    <w:rsid w:val="00DD082F"/>
    <w:rsid w:val="00DD0EEE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21DD"/>
    <w:rsid w:val="00E27A3D"/>
    <w:rsid w:val="00E31F52"/>
    <w:rsid w:val="00E379DC"/>
    <w:rsid w:val="00E42433"/>
    <w:rsid w:val="00E50BF2"/>
    <w:rsid w:val="00E53066"/>
    <w:rsid w:val="00E53B75"/>
    <w:rsid w:val="00E557C9"/>
    <w:rsid w:val="00E71560"/>
    <w:rsid w:val="00E843F7"/>
    <w:rsid w:val="00E91D54"/>
    <w:rsid w:val="00E938B0"/>
    <w:rsid w:val="00EA241A"/>
    <w:rsid w:val="00EC460A"/>
    <w:rsid w:val="00ED1193"/>
    <w:rsid w:val="00ED3A84"/>
    <w:rsid w:val="00EE239D"/>
    <w:rsid w:val="00F01295"/>
    <w:rsid w:val="00F1353F"/>
    <w:rsid w:val="00F17BCF"/>
    <w:rsid w:val="00F2492D"/>
    <w:rsid w:val="00F2715F"/>
    <w:rsid w:val="00F3147B"/>
    <w:rsid w:val="00F34872"/>
    <w:rsid w:val="00F51622"/>
    <w:rsid w:val="00F6362B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4EC6D-53CA-4CF1-9A2D-6468A942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445E-EB3C-48DE-9375-7FF2F212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2</cp:revision>
  <cp:lastPrinted>2011-05-31T12:13:00Z</cp:lastPrinted>
  <dcterms:created xsi:type="dcterms:W3CDTF">2022-03-04T23:30:00Z</dcterms:created>
  <dcterms:modified xsi:type="dcterms:W3CDTF">2022-03-04T23:30:00Z</dcterms:modified>
</cp:coreProperties>
</file>